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30B" w:rsidRPr="00FB2C87" w:rsidRDefault="00CE1427" w:rsidP="00CE1427">
      <w:pPr>
        <w:jc w:val="center"/>
        <w:rPr>
          <w:rFonts w:ascii="Garamond" w:hAnsi="Garamond"/>
          <w:b/>
          <w:sz w:val="24"/>
          <w:szCs w:val="24"/>
        </w:rPr>
      </w:pPr>
      <w:r w:rsidRPr="00FB2C87">
        <w:rPr>
          <w:rFonts w:ascii="Garamond" w:hAnsi="Garamond"/>
          <w:b/>
          <w:sz w:val="24"/>
          <w:szCs w:val="24"/>
        </w:rPr>
        <w:t>Choosing the Appropriate Number for a New Course</w:t>
      </w:r>
    </w:p>
    <w:p w:rsidR="00CE1427" w:rsidRPr="00FB2C87" w:rsidRDefault="00CE1427" w:rsidP="00CE1427">
      <w:pPr>
        <w:jc w:val="center"/>
        <w:rPr>
          <w:rFonts w:ascii="Garamond" w:hAnsi="Garamond"/>
          <w:b/>
          <w:sz w:val="24"/>
          <w:szCs w:val="24"/>
        </w:rPr>
      </w:pPr>
      <w:r w:rsidRPr="00FB2C87">
        <w:rPr>
          <w:rFonts w:ascii="Garamond" w:hAnsi="Garamond"/>
          <w:b/>
          <w:sz w:val="24"/>
          <w:szCs w:val="24"/>
        </w:rPr>
        <w:t>Florida’s State Course Numbering System</w:t>
      </w:r>
    </w:p>
    <w:p w:rsidR="00FB2C87" w:rsidRPr="00FB2C87" w:rsidRDefault="00FB2C87" w:rsidP="00FB2C87">
      <w:pPr>
        <w:jc w:val="center"/>
        <w:rPr>
          <w:b/>
        </w:rPr>
      </w:pPr>
      <w:hyperlink r:id="rId4" w:history="1">
        <w:r w:rsidRPr="00D86623">
          <w:rPr>
            <w:rStyle w:val="Hyperlink"/>
            <w:b/>
          </w:rPr>
          <w:t>https://flscns.fldoe.org/default.aspx</w:t>
        </w:r>
      </w:hyperlink>
      <w:r>
        <w:rPr>
          <w:b/>
        </w:rPr>
        <w:t xml:space="preserve"> </w:t>
      </w:r>
      <w:r w:rsidRPr="00FB2C87">
        <w:t>(no login account information required)</w:t>
      </w:r>
    </w:p>
    <w:p w:rsidR="005F4046" w:rsidRPr="00FB2C87" w:rsidRDefault="002F3514" w:rsidP="00CE1427">
      <w:pPr>
        <w:jc w:val="center"/>
        <w:rPr>
          <w:rFonts w:ascii="Garamond" w:hAnsi="Garamond"/>
          <w:sz w:val="20"/>
          <w:szCs w:val="20"/>
        </w:rPr>
      </w:pPr>
      <w:hyperlink r:id="rId5" w:history="1">
        <w:r w:rsidR="005F4046" w:rsidRPr="00FB2C87">
          <w:rPr>
            <w:rStyle w:val="Hyperlink"/>
            <w:rFonts w:ascii="Garamond" w:hAnsi="Garamond"/>
            <w:sz w:val="20"/>
            <w:szCs w:val="20"/>
          </w:rPr>
          <w:t>https://flscns.fldoe.org/LinkUploads/SCNS%202017%20Handbook%2006-01-18.pdf</w:t>
        </w:r>
      </w:hyperlink>
      <w:r w:rsidR="005F4046" w:rsidRPr="00FB2C87">
        <w:rPr>
          <w:rFonts w:ascii="Garamond" w:hAnsi="Garamond"/>
          <w:sz w:val="20"/>
          <w:szCs w:val="20"/>
        </w:rPr>
        <w:t xml:space="preserve"> </w:t>
      </w:r>
      <w:r w:rsidR="00FB2C87">
        <w:rPr>
          <w:rFonts w:ascii="Garamond" w:hAnsi="Garamond"/>
          <w:sz w:val="20"/>
          <w:szCs w:val="20"/>
        </w:rPr>
        <w:t>[SCNS Handbook]</w:t>
      </w:r>
    </w:p>
    <w:p w:rsidR="00CE1427" w:rsidRPr="00CE1427" w:rsidRDefault="00CE1427">
      <w:pPr>
        <w:rPr>
          <w:rFonts w:ascii="Garamond" w:hAnsi="Garamond"/>
          <w:sz w:val="24"/>
          <w:szCs w:val="24"/>
        </w:rPr>
      </w:pPr>
    </w:p>
    <w:p w:rsidR="00CE1427" w:rsidRDefault="00CE1427">
      <w:pPr>
        <w:rPr>
          <w:rFonts w:ascii="Garamond" w:hAnsi="Garamond"/>
          <w:sz w:val="24"/>
          <w:szCs w:val="24"/>
        </w:rPr>
      </w:pPr>
      <w:r w:rsidRPr="00CE1427">
        <w:rPr>
          <w:rFonts w:ascii="Garamond" w:hAnsi="Garamond"/>
          <w:sz w:val="24"/>
          <w:szCs w:val="24"/>
        </w:rPr>
        <w:t xml:space="preserve">Select the prefix within the discipline that </w:t>
      </w:r>
      <w:proofErr w:type="gramStart"/>
      <w:r w:rsidRPr="00CE1427">
        <w:rPr>
          <w:rFonts w:ascii="Garamond" w:hAnsi="Garamond"/>
          <w:sz w:val="24"/>
          <w:szCs w:val="24"/>
        </w:rPr>
        <w:t>is most closely related</w:t>
      </w:r>
      <w:proofErr w:type="gramEnd"/>
      <w:r w:rsidRPr="00CE1427">
        <w:rPr>
          <w:rFonts w:ascii="Garamond" w:hAnsi="Garamond"/>
          <w:sz w:val="24"/>
          <w:szCs w:val="24"/>
        </w:rPr>
        <w:t xml:space="preserve"> to the part of the specialization area. For example, the discipline of Mass Communication has 10 specialization areas designated with their own prefixes. </w:t>
      </w:r>
    </w:p>
    <w:p w:rsidR="00CE1427" w:rsidRDefault="00CE1427">
      <w:pPr>
        <w:rPr>
          <w:rFonts w:ascii="Garamond" w:hAnsi="Garamond"/>
          <w:sz w:val="24"/>
          <w:szCs w:val="24"/>
        </w:rPr>
      </w:pPr>
      <w:r>
        <w:rPr>
          <w:rFonts w:ascii="Garamond" w:hAnsi="Garamond"/>
          <w:noProof/>
          <w:sz w:val="24"/>
          <w:szCs w:val="24"/>
        </w:rPr>
        <w:drawing>
          <wp:inline distT="0" distB="0" distL="0" distR="0">
            <wp:extent cx="5943600" cy="4248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7-17 (4).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248785"/>
                    </a:xfrm>
                    <a:prstGeom prst="rect">
                      <a:avLst/>
                    </a:prstGeom>
                  </pic:spPr>
                </pic:pic>
              </a:graphicData>
            </a:graphic>
          </wp:inline>
        </w:drawing>
      </w:r>
    </w:p>
    <w:p w:rsidR="00CE1427" w:rsidRDefault="00CE1427">
      <w:pPr>
        <w:rPr>
          <w:rFonts w:ascii="Garamond" w:hAnsi="Garamond"/>
          <w:sz w:val="24"/>
          <w:szCs w:val="24"/>
        </w:rPr>
      </w:pPr>
    </w:p>
    <w:p w:rsidR="00CE1427" w:rsidRDefault="00CE1427">
      <w:pPr>
        <w:rPr>
          <w:rFonts w:ascii="Garamond" w:hAnsi="Garamond"/>
          <w:sz w:val="24"/>
          <w:szCs w:val="24"/>
        </w:rPr>
      </w:pPr>
      <w:r>
        <w:rPr>
          <w:rFonts w:ascii="Garamond" w:hAnsi="Garamond"/>
          <w:sz w:val="24"/>
          <w:szCs w:val="24"/>
        </w:rPr>
        <w:t xml:space="preserve">The selection of the first of the four digits that will constitute the course number is determined by the level of the course. The </w:t>
      </w:r>
      <w:r w:rsidR="00683D0D">
        <w:rPr>
          <w:rFonts w:ascii="Garamond" w:hAnsi="Garamond"/>
          <w:sz w:val="24"/>
          <w:szCs w:val="24"/>
        </w:rPr>
        <w:t>state requires the following codes for course levels:</w:t>
      </w:r>
    </w:p>
    <w:p w:rsidR="002D2586" w:rsidRDefault="005F4046" w:rsidP="00683D0D">
      <w:pPr>
        <w:spacing w:after="0" w:line="240" w:lineRule="auto"/>
        <w:rPr>
          <w:rFonts w:ascii="Arial" w:eastAsia="Times New Roman" w:hAnsi="Arial" w:cs="Arial"/>
          <w:sz w:val="24"/>
          <w:szCs w:val="24"/>
        </w:rPr>
      </w:pPr>
      <w:r w:rsidRPr="005F4046">
        <w:rPr>
          <w:rFonts w:ascii="Arial" w:eastAsia="Times New Roman" w:hAnsi="Arial" w:cs="Arial"/>
          <w:sz w:val="24"/>
          <w:szCs w:val="24"/>
        </w:rPr>
        <w:t>“</w:t>
      </w:r>
      <w:r w:rsidR="00683D0D" w:rsidRPr="00683D0D">
        <w:rPr>
          <w:rFonts w:ascii="Arial" w:eastAsia="Times New Roman" w:hAnsi="Arial" w:cs="Arial"/>
          <w:sz w:val="24"/>
          <w:szCs w:val="24"/>
        </w:rPr>
        <w:t>A level code, which roughly corresponds to pre-college work or the year in college the course is normally taken (i.e., freshman, sophomore, etc.), is</w:t>
      </w:r>
      <w:r w:rsidR="00683D0D" w:rsidRPr="005F4046">
        <w:rPr>
          <w:rFonts w:ascii="Arial" w:eastAsia="Times New Roman" w:hAnsi="Arial" w:cs="Arial"/>
          <w:sz w:val="24"/>
          <w:szCs w:val="24"/>
        </w:rPr>
        <w:t xml:space="preserve"> </w:t>
      </w:r>
      <w:r w:rsidR="00683D0D" w:rsidRPr="00683D0D">
        <w:rPr>
          <w:rFonts w:ascii="Arial" w:eastAsia="Times New Roman" w:hAnsi="Arial" w:cs="Arial"/>
          <w:sz w:val="24"/>
          <w:szCs w:val="24"/>
        </w:rPr>
        <w:t xml:space="preserve">placed between the course prefix and the course number. The level </w:t>
      </w:r>
      <w:proofErr w:type="gramStart"/>
      <w:r w:rsidR="00683D0D" w:rsidRPr="00683D0D">
        <w:rPr>
          <w:rFonts w:ascii="Arial" w:eastAsia="Times New Roman" w:hAnsi="Arial" w:cs="Arial"/>
          <w:sz w:val="24"/>
          <w:szCs w:val="24"/>
        </w:rPr>
        <w:t>is recommended by the institution according to its own policies and the policies of the State of Florida, and approved by the faculty committee</w:t>
      </w:r>
      <w:proofErr w:type="gramEnd"/>
      <w:r w:rsidR="00683D0D" w:rsidRPr="00683D0D">
        <w:rPr>
          <w:rFonts w:ascii="Arial" w:eastAsia="Times New Roman" w:hAnsi="Arial" w:cs="Arial"/>
          <w:sz w:val="24"/>
          <w:szCs w:val="24"/>
        </w:rPr>
        <w:t xml:space="preserve">. </w:t>
      </w:r>
    </w:p>
    <w:p w:rsidR="00683D0D" w:rsidRPr="00683D0D" w:rsidRDefault="00683D0D" w:rsidP="00683D0D">
      <w:pPr>
        <w:spacing w:after="0" w:line="240" w:lineRule="auto"/>
        <w:rPr>
          <w:rFonts w:ascii="Arial" w:eastAsia="Times New Roman" w:hAnsi="Arial" w:cs="Arial"/>
          <w:sz w:val="24"/>
          <w:szCs w:val="24"/>
        </w:rPr>
      </w:pPr>
      <w:r w:rsidRPr="00683D0D">
        <w:rPr>
          <w:rFonts w:ascii="Arial" w:eastAsia="Times New Roman" w:hAnsi="Arial" w:cs="Arial"/>
          <w:sz w:val="24"/>
          <w:szCs w:val="24"/>
        </w:rPr>
        <w:lastRenderedPageBreak/>
        <w:t>The level digit does not affect course equivalency—</w:t>
      </w:r>
      <w:proofErr w:type="gramStart"/>
      <w:r w:rsidRPr="00683D0D">
        <w:rPr>
          <w:rFonts w:ascii="Arial" w:eastAsia="Times New Roman" w:hAnsi="Arial" w:cs="Arial"/>
          <w:sz w:val="24"/>
          <w:szCs w:val="24"/>
        </w:rPr>
        <w:t>course equivalency is determined by the prefix and the last three digits</w:t>
      </w:r>
      <w:proofErr w:type="gramEnd"/>
      <w:r w:rsidRPr="00683D0D">
        <w:rPr>
          <w:rFonts w:ascii="Arial" w:eastAsia="Times New Roman" w:hAnsi="Arial" w:cs="Arial"/>
          <w:sz w:val="24"/>
          <w:szCs w:val="24"/>
        </w:rPr>
        <w:t>. The following are the level definitions:</w:t>
      </w:r>
    </w:p>
    <w:p w:rsidR="00683D0D" w:rsidRPr="00683D0D" w:rsidRDefault="00683D0D" w:rsidP="00683D0D">
      <w:pPr>
        <w:spacing w:after="0" w:line="240" w:lineRule="auto"/>
        <w:ind w:firstLine="720"/>
        <w:rPr>
          <w:rFonts w:ascii="Arial" w:eastAsia="Times New Roman" w:hAnsi="Arial" w:cs="Arial"/>
          <w:sz w:val="24"/>
          <w:szCs w:val="24"/>
        </w:rPr>
      </w:pPr>
      <w:proofErr w:type="gramStart"/>
      <w:r w:rsidRPr="00683D0D">
        <w:rPr>
          <w:rFonts w:ascii="Arial" w:eastAsia="Times New Roman" w:hAnsi="Arial" w:cs="Arial"/>
          <w:sz w:val="24"/>
          <w:szCs w:val="24"/>
        </w:rPr>
        <w:t>0</w:t>
      </w:r>
      <w:proofErr w:type="gramEnd"/>
      <w:r w:rsidRPr="00683D0D">
        <w:rPr>
          <w:rFonts w:ascii="Arial" w:eastAsia="Times New Roman" w:hAnsi="Arial" w:cs="Arial"/>
          <w:sz w:val="24"/>
          <w:szCs w:val="24"/>
        </w:rPr>
        <w:t xml:space="preserve"> </w:t>
      </w:r>
      <w:r w:rsidRPr="005F4046">
        <w:rPr>
          <w:rFonts w:ascii="Arial" w:eastAsia="Times New Roman" w:hAnsi="Arial" w:cs="Arial"/>
          <w:sz w:val="24"/>
          <w:szCs w:val="24"/>
        </w:rPr>
        <w:tab/>
      </w:r>
      <w:r w:rsidRPr="00683D0D">
        <w:rPr>
          <w:rFonts w:ascii="Arial" w:eastAsia="Times New Roman" w:hAnsi="Arial" w:cs="Arial"/>
          <w:sz w:val="24"/>
          <w:szCs w:val="24"/>
        </w:rPr>
        <w:t>PSAV, college prep, vocational prep</w:t>
      </w:r>
    </w:p>
    <w:p w:rsidR="00683D0D" w:rsidRPr="00683D0D" w:rsidRDefault="00683D0D" w:rsidP="00683D0D">
      <w:pPr>
        <w:spacing w:after="0" w:line="240" w:lineRule="auto"/>
        <w:ind w:firstLine="720"/>
        <w:rPr>
          <w:rFonts w:ascii="Arial" w:eastAsia="Times New Roman" w:hAnsi="Arial" w:cs="Arial"/>
          <w:sz w:val="24"/>
          <w:szCs w:val="24"/>
        </w:rPr>
      </w:pPr>
      <w:r w:rsidRPr="00683D0D">
        <w:rPr>
          <w:rFonts w:ascii="Arial" w:eastAsia="Times New Roman" w:hAnsi="Arial" w:cs="Arial"/>
          <w:sz w:val="24"/>
          <w:szCs w:val="24"/>
        </w:rPr>
        <w:t xml:space="preserve">1–2 </w:t>
      </w:r>
      <w:r w:rsidRPr="005F4046">
        <w:rPr>
          <w:rFonts w:ascii="Arial" w:eastAsia="Times New Roman" w:hAnsi="Arial" w:cs="Arial"/>
          <w:sz w:val="24"/>
          <w:szCs w:val="24"/>
        </w:rPr>
        <w:tab/>
      </w:r>
      <w:r w:rsidRPr="00683D0D">
        <w:rPr>
          <w:rFonts w:ascii="Arial" w:eastAsia="Times New Roman" w:hAnsi="Arial" w:cs="Arial"/>
          <w:sz w:val="24"/>
          <w:szCs w:val="24"/>
        </w:rPr>
        <w:t>Lower-level undergraduate</w:t>
      </w:r>
    </w:p>
    <w:p w:rsidR="00683D0D" w:rsidRPr="00683D0D" w:rsidRDefault="00683D0D" w:rsidP="00683D0D">
      <w:pPr>
        <w:spacing w:after="0" w:line="240" w:lineRule="auto"/>
        <w:ind w:firstLine="720"/>
        <w:rPr>
          <w:rFonts w:ascii="Arial" w:eastAsia="Times New Roman" w:hAnsi="Arial" w:cs="Arial"/>
          <w:sz w:val="24"/>
          <w:szCs w:val="24"/>
        </w:rPr>
      </w:pPr>
      <w:r w:rsidRPr="00683D0D">
        <w:rPr>
          <w:rFonts w:ascii="Arial" w:eastAsia="Times New Roman" w:hAnsi="Arial" w:cs="Arial"/>
          <w:sz w:val="24"/>
          <w:szCs w:val="24"/>
        </w:rPr>
        <w:t xml:space="preserve">3–4 </w:t>
      </w:r>
      <w:r w:rsidRPr="005F4046">
        <w:rPr>
          <w:rFonts w:ascii="Arial" w:eastAsia="Times New Roman" w:hAnsi="Arial" w:cs="Arial"/>
          <w:sz w:val="24"/>
          <w:szCs w:val="24"/>
        </w:rPr>
        <w:tab/>
      </w:r>
      <w:r w:rsidRPr="00683D0D">
        <w:rPr>
          <w:rFonts w:ascii="Arial" w:eastAsia="Times New Roman" w:hAnsi="Arial" w:cs="Arial"/>
          <w:sz w:val="24"/>
          <w:szCs w:val="24"/>
        </w:rPr>
        <w:t>Upper-level undergraduate</w:t>
      </w:r>
    </w:p>
    <w:p w:rsidR="00683D0D" w:rsidRPr="00683D0D" w:rsidRDefault="00683D0D" w:rsidP="00683D0D">
      <w:pPr>
        <w:spacing w:after="0" w:line="240" w:lineRule="auto"/>
        <w:ind w:firstLine="720"/>
        <w:rPr>
          <w:rFonts w:ascii="Arial" w:eastAsia="Times New Roman" w:hAnsi="Arial" w:cs="Arial"/>
          <w:sz w:val="24"/>
          <w:szCs w:val="24"/>
        </w:rPr>
      </w:pPr>
      <w:r w:rsidRPr="00683D0D">
        <w:rPr>
          <w:rFonts w:ascii="Arial" w:eastAsia="Times New Roman" w:hAnsi="Arial" w:cs="Arial"/>
          <w:sz w:val="24"/>
          <w:szCs w:val="24"/>
        </w:rPr>
        <w:t xml:space="preserve">5–9 </w:t>
      </w:r>
      <w:r w:rsidRPr="005F4046">
        <w:rPr>
          <w:rFonts w:ascii="Arial" w:eastAsia="Times New Roman" w:hAnsi="Arial" w:cs="Arial"/>
          <w:sz w:val="24"/>
          <w:szCs w:val="24"/>
        </w:rPr>
        <w:tab/>
      </w:r>
      <w:r w:rsidRPr="00683D0D">
        <w:rPr>
          <w:rFonts w:ascii="Arial" w:eastAsia="Times New Roman" w:hAnsi="Arial" w:cs="Arial"/>
          <w:sz w:val="24"/>
          <w:szCs w:val="24"/>
        </w:rPr>
        <w:t xml:space="preserve">Graduate and Professional </w:t>
      </w:r>
    </w:p>
    <w:p w:rsidR="00683D0D" w:rsidRPr="005F4046" w:rsidRDefault="00683D0D" w:rsidP="00683D0D">
      <w:pPr>
        <w:spacing w:after="0" w:line="240" w:lineRule="auto"/>
        <w:rPr>
          <w:rFonts w:ascii="Arial" w:eastAsia="Times New Roman" w:hAnsi="Arial" w:cs="Arial"/>
          <w:sz w:val="24"/>
          <w:szCs w:val="24"/>
        </w:rPr>
      </w:pPr>
    </w:p>
    <w:p w:rsidR="00683D0D" w:rsidRPr="00683D0D" w:rsidRDefault="00683D0D" w:rsidP="00683D0D">
      <w:pPr>
        <w:spacing w:after="0" w:line="240" w:lineRule="auto"/>
        <w:rPr>
          <w:rFonts w:ascii="Arial" w:eastAsia="Times New Roman" w:hAnsi="Arial" w:cs="Arial"/>
          <w:sz w:val="24"/>
          <w:szCs w:val="24"/>
        </w:rPr>
      </w:pPr>
      <w:r w:rsidRPr="00683D0D">
        <w:rPr>
          <w:rFonts w:ascii="Arial" w:eastAsia="Times New Roman" w:hAnsi="Arial" w:cs="Arial"/>
          <w:sz w:val="24"/>
          <w:szCs w:val="24"/>
        </w:rPr>
        <w:t>Courses are numbered based on content, rather than by department or program. This means that a single program may have courses in several different disciplines and may consist of courses having several different prefixes.</w:t>
      </w:r>
      <w:r w:rsidR="005F4046" w:rsidRPr="005F4046">
        <w:rPr>
          <w:rFonts w:ascii="Arial" w:eastAsia="Times New Roman" w:hAnsi="Arial" w:cs="Arial"/>
          <w:sz w:val="24"/>
          <w:szCs w:val="24"/>
        </w:rPr>
        <w:t>”</w:t>
      </w:r>
    </w:p>
    <w:p w:rsidR="00683D0D" w:rsidRDefault="00683D0D">
      <w:pPr>
        <w:rPr>
          <w:rFonts w:ascii="Garamond" w:hAnsi="Garamond"/>
          <w:sz w:val="24"/>
          <w:szCs w:val="24"/>
        </w:rPr>
      </w:pPr>
    </w:p>
    <w:p w:rsidR="00CE1427" w:rsidRDefault="00683D0D">
      <w:pPr>
        <w:rPr>
          <w:rFonts w:ascii="Garamond" w:hAnsi="Garamond"/>
          <w:sz w:val="24"/>
          <w:szCs w:val="24"/>
        </w:rPr>
      </w:pPr>
      <w:r>
        <w:rPr>
          <w:rFonts w:ascii="Garamond" w:hAnsi="Garamond"/>
          <w:sz w:val="24"/>
          <w:szCs w:val="24"/>
        </w:rPr>
        <w:t xml:space="preserve">The state breaks each prefix into 10 centuries. For example, Journalism (JOU) is broken into </w:t>
      </w:r>
      <w:proofErr w:type="gramStart"/>
      <w:r>
        <w:rPr>
          <w:rFonts w:ascii="Garamond" w:hAnsi="Garamond"/>
          <w:sz w:val="24"/>
          <w:szCs w:val="24"/>
        </w:rPr>
        <w:t xml:space="preserve">the </w:t>
      </w:r>
      <w:r w:rsidR="002D2586">
        <w:rPr>
          <w:rFonts w:ascii="Garamond" w:hAnsi="Garamond"/>
          <w:sz w:val="24"/>
          <w:szCs w:val="24"/>
        </w:rPr>
        <w:t>these</w:t>
      </w:r>
      <w:proofErr w:type="gramEnd"/>
      <w:r w:rsidR="002D2586">
        <w:rPr>
          <w:rFonts w:ascii="Garamond" w:hAnsi="Garamond"/>
          <w:sz w:val="24"/>
          <w:szCs w:val="24"/>
        </w:rPr>
        <w:t xml:space="preserve"> general categories</w:t>
      </w:r>
      <w:r>
        <w:rPr>
          <w:rFonts w:ascii="Garamond" w:hAnsi="Garamond"/>
          <w:sz w:val="24"/>
          <w:szCs w:val="24"/>
        </w:rPr>
        <w:t>:</w:t>
      </w:r>
    </w:p>
    <w:p w:rsidR="00683D0D" w:rsidRPr="002D2586" w:rsidRDefault="00683D0D" w:rsidP="002D2586">
      <w:pPr>
        <w:pStyle w:val="NoSpacing"/>
        <w:rPr>
          <w:rFonts w:ascii="Garamond" w:hAnsi="Garamond"/>
          <w:sz w:val="24"/>
          <w:szCs w:val="24"/>
        </w:rPr>
      </w:pPr>
      <w:r w:rsidRPr="002D2586">
        <w:rPr>
          <w:rFonts w:ascii="Garamond" w:hAnsi="Garamond"/>
          <w:sz w:val="24"/>
          <w:szCs w:val="24"/>
        </w:rPr>
        <w:t>X0XX</w:t>
      </w:r>
      <w:r w:rsidRPr="002D2586">
        <w:rPr>
          <w:rFonts w:ascii="Garamond" w:hAnsi="Garamond"/>
          <w:sz w:val="24"/>
          <w:szCs w:val="24"/>
        </w:rPr>
        <w:tab/>
        <w:t>Introduction and History of Journalism</w:t>
      </w:r>
    </w:p>
    <w:p w:rsidR="00683D0D" w:rsidRPr="002D2586" w:rsidRDefault="00683D0D" w:rsidP="002D2586">
      <w:pPr>
        <w:pStyle w:val="NoSpacing"/>
        <w:rPr>
          <w:rFonts w:ascii="Garamond" w:hAnsi="Garamond"/>
          <w:sz w:val="24"/>
          <w:szCs w:val="24"/>
        </w:rPr>
      </w:pPr>
      <w:r w:rsidRPr="002D2586">
        <w:rPr>
          <w:rFonts w:ascii="Garamond" w:hAnsi="Garamond"/>
          <w:sz w:val="24"/>
          <w:szCs w:val="24"/>
        </w:rPr>
        <w:t>X1XX</w:t>
      </w:r>
      <w:r w:rsidRPr="002D2586">
        <w:rPr>
          <w:rFonts w:ascii="Garamond" w:hAnsi="Garamond"/>
          <w:sz w:val="24"/>
          <w:szCs w:val="24"/>
        </w:rPr>
        <w:tab/>
        <w:t>Reporting</w:t>
      </w:r>
    </w:p>
    <w:p w:rsidR="00683D0D" w:rsidRPr="002D2586" w:rsidRDefault="00683D0D" w:rsidP="002D2586">
      <w:pPr>
        <w:pStyle w:val="NoSpacing"/>
        <w:rPr>
          <w:rFonts w:ascii="Garamond" w:hAnsi="Garamond"/>
          <w:sz w:val="24"/>
          <w:szCs w:val="24"/>
        </w:rPr>
      </w:pPr>
      <w:r w:rsidRPr="002D2586">
        <w:rPr>
          <w:rFonts w:ascii="Garamond" w:hAnsi="Garamond"/>
          <w:sz w:val="24"/>
          <w:szCs w:val="24"/>
        </w:rPr>
        <w:t>X2XX</w:t>
      </w:r>
      <w:r w:rsidRPr="002D2586">
        <w:rPr>
          <w:rFonts w:ascii="Garamond" w:hAnsi="Garamond"/>
          <w:sz w:val="24"/>
          <w:szCs w:val="24"/>
        </w:rPr>
        <w:tab/>
        <w:t>Editing</w:t>
      </w:r>
      <w:r w:rsidR="00FB2C87">
        <w:rPr>
          <w:rFonts w:ascii="Garamond" w:hAnsi="Garamond"/>
          <w:sz w:val="24"/>
          <w:szCs w:val="24"/>
        </w:rPr>
        <w:t>/Layout</w:t>
      </w:r>
    </w:p>
    <w:p w:rsidR="00683D0D" w:rsidRPr="002D2586" w:rsidRDefault="00683D0D" w:rsidP="002D2586">
      <w:pPr>
        <w:pStyle w:val="NoSpacing"/>
        <w:rPr>
          <w:rFonts w:ascii="Garamond" w:hAnsi="Garamond"/>
          <w:sz w:val="24"/>
          <w:szCs w:val="24"/>
        </w:rPr>
      </w:pPr>
      <w:r w:rsidRPr="002D2586">
        <w:rPr>
          <w:rFonts w:ascii="Garamond" w:hAnsi="Garamond"/>
          <w:sz w:val="24"/>
          <w:szCs w:val="24"/>
        </w:rPr>
        <w:t>X3XX</w:t>
      </w:r>
      <w:r w:rsidRPr="002D2586">
        <w:rPr>
          <w:rFonts w:ascii="Garamond" w:hAnsi="Garamond"/>
          <w:sz w:val="24"/>
          <w:szCs w:val="24"/>
        </w:rPr>
        <w:tab/>
      </w:r>
      <w:r w:rsidR="00FB2C87">
        <w:rPr>
          <w:rFonts w:ascii="Garamond" w:hAnsi="Garamond"/>
          <w:sz w:val="24"/>
          <w:szCs w:val="24"/>
        </w:rPr>
        <w:t>Specialty Journalism</w:t>
      </w:r>
    </w:p>
    <w:p w:rsidR="00683D0D" w:rsidRPr="002D2586" w:rsidRDefault="00683D0D" w:rsidP="002D2586">
      <w:pPr>
        <w:pStyle w:val="NoSpacing"/>
        <w:rPr>
          <w:rFonts w:ascii="Garamond" w:hAnsi="Garamond"/>
          <w:sz w:val="24"/>
          <w:szCs w:val="24"/>
        </w:rPr>
      </w:pPr>
      <w:r w:rsidRPr="002D2586">
        <w:rPr>
          <w:rFonts w:ascii="Garamond" w:hAnsi="Garamond"/>
          <w:sz w:val="24"/>
          <w:szCs w:val="24"/>
        </w:rPr>
        <w:t>X4XX</w:t>
      </w:r>
      <w:r w:rsidRPr="002D2586">
        <w:rPr>
          <w:rFonts w:ascii="Garamond" w:hAnsi="Garamond"/>
          <w:sz w:val="24"/>
          <w:szCs w:val="24"/>
        </w:rPr>
        <w:tab/>
      </w:r>
      <w:r w:rsidR="00002987" w:rsidRPr="002D2586">
        <w:rPr>
          <w:rFonts w:ascii="Garamond" w:hAnsi="Garamond"/>
          <w:sz w:val="24"/>
          <w:szCs w:val="24"/>
        </w:rPr>
        <w:t>Journalism Laboratory</w:t>
      </w:r>
    </w:p>
    <w:p w:rsidR="00002987" w:rsidRPr="002D2586" w:rsidRDefault="00002987" w:rsidP="002D2586">
      <w:pPr>
        <w:pStyle w:val="NoSpacing"/>
        <w:rPr>
          <w:rFonts w:ascii="Garamond" w:hAnsi="Garamond"/>
          <w:sz w:val="24"/>
          <w:szCs w:val="24"/>
        </w:rPr>
      </w:pPr>
      <w:r w:rsidRPr="002D2586">
        <w:rPr>
          <w:rFonts w:ascii="Garamond" w:hAnsi="Garamond"/>
          <w:sz w:val="24"/>
          <w:szCs w:val="24"/>
        </w:rPr>
        <w:t>X5XX</w:t>
      </w:r>
      <w:r w:rsidRPr="002D2586">
        <w:rPr>
          <w:rFonts w:ascii="Garamond" w:hAnsi="Garamond"/>
          <w:sz w:val="24"/>
          <w:szCs w:val="24"/>
        </w:rPr>
        <w:tab/>
      </w:r>
      <w:r w:rsidR="00FB2C87">
        <w:rPr>
          <w:rFonts w:ascii="Garamond" w:hAnsi="Garamond"/>
          <w:sz w:val="24"/>
          <w:szCs w:val="24"/>
        </w:rPr>
        <w:t>Journalism</w:t>
      </w:r>
      <w:r w:rsidRPr="002D2586">
        <w:rPr>
          <w:rFonts w:ascii="Garamond" w:hAnsi="Garamond"/>
          <w:sz w:val="24"/>
          <w:szCs w:val="24"/>
        </w:rPr>
        <w:t xml:space="preserve"> Management</w:t>
      </w:r>
    </w:p>
    <w:p w:rsidR="00002987" w:rsidRPr="002D2586" w:rsidRDefault="00002987" w:rsidP="002D2586">
      <w:pPr>
        <w:pStyle w:val="NoSpacing"/>
        <w:rPr>
          <w:rFonts w:ascii="Garamond" w:hAnsi="Garamond"/>
          <w:sz w:val="24"/>
          <w:szCs w:val="24"/>
        </w:rPr>
      </w:pPr>
      <w:r w:rsidRPr="002D2586">
        <w:rPr>
          <w:rFonts w:ascii="Garamond" w:hAnsi="Garamond"/>
          <w:sz w:val="24"/>
          <w:szCs w:val="24"/>
        </w:rPr>
        <w:t>X6XX</w:t>
      </w:r>
      <w:r w:rsidRPr="002D2586">
        <w:rPr>
          <w:rFonts w:ascii="Garamond" w:hAnsi="Garamond"/>
          <w:sz w:val="24"/>
          <w:szCs w:val="24"/>
        </w:rPr>
        <w:tab/>
        <w:t>Photojournalism</w:t>
      </w:r>
    </w:p>
    <w:p w:rsidR="00002987" w:rsidRPr="002D2586" w:rsidRDefault="00002987" w:rsidP="002D2586">
      <w:pPr>
        <w:pStyle w:val="NoSpacing"/>
        <w:rPr>
          <w:rFonts w:ascii="Garamond" w:hAnsi="Garamond"/>
          <w:sz w:val="24"/>
          <w:szCs w:val="24"/>
        </w:rPr>
      </w:pPr>
      <w:r w:rsidRPr="002D2586">
        <w:rPr>
          <w:rFonts w:ascii="Garamond" w:hAnsi="Garamond"/>
          <w:sz w:val="24"/>
          <w:szCs w:val="24"/>
        </w:rPr>
        <w:t>X7XX</w:t>
      </w:r>
      <w:r w:rsidRPr="002D2586">
        <w:rPr>
          <w:rFonts w:ascii="Garamond" w:hAnsi="Garamond"/>
          <w:sz w:val="24"/>
          <w:szCs w:val="24"/>
        </w:rPr>
        <w:tab/>
        <w:t>Law &amp; Ethics</w:t>
      </w:r>
    </w:p>
    <w:p w:rsidR="00002987" w:rsidRPr="002D2586" w:rsidRDefault="00002987" w:rsidP="002D2586">
      <w:pPr>
        <w:pStyle w:val="NoSpacing"/>
        <w:rPr>
          <w:rFonts w:ascii="Garamond" w:hAnsi="Garamond"/>
          <w:sz w:val="24"/>
          <w:szCs w:val="24"/>
        </w:rPr>
      </w:pPr>
      <w:r w:rsidRPr="002D2586">
        <w:rPr>
          <w:rFonts w:ascii="Garamond" w:hAnsi="Garamond"/>
          <w:sz w:val="24"/>
          <w:szCs w:val="24"/>
        </w:rPr>
        <w:t>X8XX</w:t>
      </w:r>
      <w:r w:rsidRPr="002D2586">
        <w:rPr>
          <w:rFonts w:ascii="Garamond" w:hAnsi="Garamond"/>
          <w:sz w:val="24"/>
          <w:szCs w:val="24"/>
        </w:rPr>
        <w:tab/>
        <w:t>Teaching Journalism</w:t>
      </w:r>
    </w:p>
    <w:p w:rsidR="00002987" w:rsidRPr="002D2586" w:rsidRDefault="00002987" w:rsidP="002D2586">
      <w:pPr>
        <w:pStyle w:val="NoSpacing"/>
        <w:rPr>
          <w:rFonts w:ascii="Garamond" w:hAnsi="Garamond"/>
          <w:sz w:val="24"/>
          <w:szCs w:val="24"/>
        </w:rPr>
      </w:pPr>
      <w:r w:rsidRPr="002D2586">
        <w:rPr>
          <w:rFonts w:ascii="Garamond" w:hAnsi="Garamond"/>
          <w:sz w:val="24"/>
          <w:szCs w:val="24"/>
        </w:rPr>
        <w:t>X9XX</w:t>
      </w:r>
      <w:r w:rsidRPr="002D2586">
        <w:rPr>
          <w:rFonts w:ascii="Garamond" w:hAnsi="Garamond"/>
          <w:sz w:val="24"/>
          <w:szCs w:val="24"/>
        </w:rPr>
        <w:tab/>
      </w:r>
      <w:r w:rsidR="00FB2C87">
        <w:rPr>
          <w:rFonts w:ascii="Garamond" w:hAnsi="Garamond"/>
          <w:sz w:val="24"/>
          <w:szCs w:val="24"/>
        </w:rPr>
        <w:t>General Miscellaneous Categories [</w:t>
      </w:r>
      <w:r w:rsidRPr="002D2586">
        <w:rPr>
          <w:rFonts w:ascii="Garamond" w:hAnsi="Garamond"/>
          <w:sz w:val="24"/>
          <w:szCs w:val="24"/>
        </w:rPr>
        <w:t>Independent Studies/Directed Readings and Other Specialized Offerings</w:t>
      </w:r>
      <w:r w:rsidR="00FB2C87">
        <w:rPr>
          <w:rFonts w:ascii="Garamond" w:hAnsi="Garamond"/>
          <w:sz w:val="24"/>
          <w:szCs w:val="24"/>
        </w:rPr>
        <w:t xml:space="preserve"> that are not automatically transferable between institutions]</w:t>
      </w:r>
      <w:r w:rsidRPr="002D2586">
        <w:rPr>
          <w:rFonts w:ascii="Garamond" w:hAnsi="Garamond"/>
          <w:sz w:val="24"/>
          <w:szCs w:val="24"/>
        </w:rPr>
        <w:t xml:space="preserve"> </w:t>
      </w:r>
    </w:p>
    <w:p w:rsidR="002D2586" w:rsidRDefault="002D2586">
      <w:pPr>
        <w:rPr>
          <w:rFonts w:ascii="Garamond" w:hAnsi="Garamond"/>
          <w:sz w:val="24"/>
          <w:szCs w:val="24"/>
        </w:rPr>
      </w:pPr>
    </w:p>
    <w:p w:rsidR="00002987" w:rsidRDefault="00002987">
      <w:pPr>
        <w:rPr>
          <w:rFonts w:ascii="Garamond" w:hAnsi="Garamond"/>
          <w:sz w:val="24"/>
          <w:szCs w:val="24"/>
        </w:rPr>
      </w:pPr>
      <w:r>
        <w:rPr>
          <w:rFonts w:ascii="Garamond" w:hAnsi="Garamond"/>
          <w:sz w:val="24"/>
          <w:szCs w:val="24"/>
        </w:rPr>
        <w:t>Each century is broken into 10 decades to provide further specialization. For example, JOU X</w:t>
      </w:r>
      <w:r w:rsidR="001325AC">
        <w:rPr>
          <w:rFonts w:ascii="Garamond" w:hAnsi="Garamond"/>
          <w:sz w:val="24"/>
          <w:szCs w:val="24"/>
        </w:rPr>
        <w:t>3</w:t>
      </w:r>
      <w:r>
        <w:rPr>
          <w:rFonts w:ascii="Garamond" w:hAnsi="Garamond"/>
          <w:sz w:val="24"/>
          <w:szCs w:val="24"/>
        </w:rPr>
        <w:t xml:space="preserve">XX courses all deal with </w:t>
      </w:r>
      <w:r w:rsidR="00FB2C87">
        <w:rPr>
          <w:rFonts w:ascii="Garamond" w:hAnsi="Garamond"/>
          <w:sz w:val="24"/>
          <w:szCs w:val="24"/>
        </w:rPr>
        <w:t xml:space="preserve">Specialty Journalism or </w:t>
      </w:r>
      <w:r w:rsidR="001325AC">
        <w:rPr>
          <w:rFonts w:ascii="Garamond" w:hAnsi="Garamond"/>
          <w:sz w:val="24"/>
          <w:szCs w:val="24"/>
        </w:rPr>
        <w:t>styles of writing</w:t>
      </w:r>
      <w:r>
        <w:rPr>
          <w:rFonts w:ascii="Garamond" w:hAnsi="Garamond"/>
          <w:sz w:val="24"/>
          <w:szCs w:val="24"/>
        </w:rPr>
        <w:t xml:space="preserve">, but they </w:t>
      </w:r>
      <w:proofErr w:type="gramStart"/>
      <w:r>
        <w:rPr>
          <w:rFonts w:ascii="Garamond" w:hAnsi="Garamond"/>
          <w:sz w:val="24"/>
          <w:szCs w:val="24"/>
        </w:rPr>
        <w:t xml:space="preserve">can be </w:t>
      </w:r>
      <w:r w:rsidR="002D2586">
        <w:rPr>
          <w:rFonts w:ascii="Garamond" w:hAnsi="Garamond"/>
          <w:sz w:val="24"/>
          <w:szCs w:val="24"/>
        </w:rPr>
        <w:t>narrowed</w:t>
      </w:r>
      <w:proofErr w:type="gramEnd"/>
      <w:r>
        <w:rPr>
          <w:rFonts w:ascii="Garamond" w:hAnsi="Garamond"/>
          <w:sz w:val="24"/>
          <w:szCs w:val="24"/>
        </w:rPr>
        <w:t xml:space="preserve"> </w:t>
      </w:r>
      <w:r w:rsidR="002D2586">
        <w:rPr>
          <w:rFonts w:ascii="Garamond" w:hAnsi="Garamond"/>
          <w:sz w:val="24"/>
          <w:szCs w:val="24"/>
        </w:rPr>
        <w:t>through the change of decade</w:t>
      </w:r>
      <w:r>
        <w:rPr>
          <w:rFonts w:ascii="Garamond" w:hAnsi="Garamond"/>
          <w:sz w:val="24"/>
          <w:szCs w:val="24"/>
        </w:rPr>
        <w:t>:</w:t>
      </w:r>
    </w:p>
    <w:p w:rsidR="00002987" w:rsidRPr="002D2586" w:rsidRDefault="00002987" w:rsidP="002D2586">
      <w:pPr>
        <w:pStyle w:val="NoSpacing"/>
        <w:rPr>
          <w:rFonts w:ascii="Garamond" w:hAnsi="Garamond"/>
          <w:sz w:val="24"/>
          <w:szCs w:val="24"/>
        </w:rPr>
      </w:pPr>
      <w:r w:rsidRPr="002D2586">
        <w:rPr>
          <w:rFonts w:ascii="Garamond" w:hAnsi="Garamond"/>
          <w:sz w:val="24"/>
          <w:szCs w:val="24"/>
        </w:rPr>
        <w:t>X</w:t>
      </w:r>
      <w:r w:rsidR="001325AC" w:rsidRPr="002D2586">
        <w:rPr>
          <w:rFonts w:ascii="Garamond" w:hAnsi="Garamond"/>
          <w:sz w:val="24"/>
          <w:szCs w:val="24"/>
        </w:rPr>
        <w:t>3</w:t>
      </w:r>
      <w:r w:rsidRPr="002D2586">
        <w:rPr>
          <w:rFonts w:ascii="Garamond" w:hAnsi="Garamond"/>
          <w:sz w:val="24"/>
          <w:szCs w:val="24"/>
        </w:rPr>
        <w:t>0X</w:t>
      </w:r>
      <w:r w:rsidRPr="002D2586">
        <w:rPr>
          <w:rFonts w:ascii="Garamond" w:hAnsi="Garamond"/>
          <w:sz w:val="24"/>
          <w:szCs w:val="24"/>
        </w:rPr>
        <w:tab/>
      </w:r>
      <w:r w:rsidR="001325AC" w:rsidRPr="002D2586">
        <w:rPr>
          <w:rFonts w:ascii="Garamond" w:hAnsi="Garamond"/>
          <w:sz w:val="24"/>
          <w:szCs w:val="24"/>
        </w:rPr>
        <w:t xml:space="preserve">Introduction to </w:t>
      </w:r>
      <w:r w:rsidR="00FB2C87">
        <w:rPr>
          <w:rFonts w:ascii="Garamond" w:hAnsi="Garamond"/>
          <w:sz w:val="24"/>
          <w:szCs w:val="24"/>
        </w:rPr>
        <w:t>Specialty Journalism</w:t>
      </w:r>
      <w:r w:rsidR="001325AC" w:rsidRPr="002D2586">
        <w:rPr>
          <w:rFonts w:ascii="Garamond" w:hAnsi="Garamond"/>
          <w:sz w:val="24"/>
          <w:szCs w:val="24"/>
        </w:rPr>
        <w:t xml:space="preserve"> </w:t>
      </w:r>
    </w:p>
    <w:p w:rsidR="00002987" w:rsidRPr="002D2586" w:rsidRDefault="00002987" w:rsidP="002D2586">
      <w:pPr>
        <w:pStyle w:val="NoSpacing"/>
        <w:rPr>
          <w:rFonts w:ascii="Garamond" w:hAnsi="Garamond"/>
          <w:sz w:val="24"/>
          <w:szCs w:val="24"/>
        </w:rPr>
      </w:pPr>
      <w:r w:rsidRPr="002D2586">
        <w:rPr>
          <w:rFonts w:ascii="Garamond" w:hAnsi="Garamond"/>
          <w:sz w:val="24"/>
          <w:szCs w:val="24"/>
        </w:rPr>
        <w:t>X</w:t>
      </w:r>
      <w:r w:rsidR="001325AC" w:rsidRPr="002D2586">
        <w:rPr>
          <w:rFonts w:ascii="Garamond" w:hAnsi="Garamond"/>
          <w:sz w:val="24"/>
          <w:szCs w:val="24"/>
        </w:rPr>
        <w:t>3</w:t>
      </w:r>
      <w:r w:rsidRPr="002D2586">
        <w:rPr>
          <w:rFonts w:ascii="Garamond" w:hAnsi="Garamond"/>
          <w:sz w:val="24"/>
          <w:szCs w:val="24"/>
        </w:rPr>
        <w:t>1X</w:t>
      </w:r>
      <w:r w:rsidRPr="002D2586">
        <w:rPr>
          <w:rFonts w:ascii="Garamond" w:hAnsi="Garamond"/>
          <w:sz w:val="24"/>
          <w:szCs w:val="24"/>
        </w:rPr>
        <w:tab/>
      </w:r>
      <w:r w:rsidR="00FB2C87">
        <w:rPr>
          <w:rFonts w:ascii="Garamond" w:hAnsi="Garamond"/>
          <w:sz w:val="24"/>
          <w:szCs w:val="24"/>
        </w:rPr>
        <w:t>Advanced Specialty Journalism</w:t>
      </w:r>
    </w:p>
    <w:p w:rsidR="00002987" w:rsidRPr="002D2586" w:rsidRDefault="00002987" w:rsidP="002D2586">
      <w:pPr>
        <w:pStyle w:val="NoSpacing"/>
        <w:rPr>
          <w:rFonts w:ascii="Garamond" w:hAnsi="Garamond"/>
          <w:sz w:val="24"/>
          <w:szCs w:val="24"/>
        </w:rPr>
      </w:pPr>
      <w:r w:rsidRPr="002D2586">
        <w:rPr>
          <w:rFonts w:ascii="Garamond" w:hAnsi="Garamond"/>
          <w:sz w:val="24"/>
          <w:szCs w:val="24"/>
        </w:rPr>
        <w:t>X</w:t>
      </w:r>
      <w:r w:rsidR="001325AC" w:rsidRPr="002D2586">
        <w:rPr>
          <w:rFonts w:ascii="Garamond" w:hAnsi="Garamond"/>
          <w:sz w:val="24"/>
          <w:szCs w:val="24"/>
        </w:rPr>
        <w:t>3</w:t>
      </w:r>
      <w:r w:rsidRPr="002D2586">
        <w:rPr>
          <w:rFonts w:ascii="Garamond" w:hAnsi="Garamond"/>
          <w:sz w:val="24"/>
          <w:szCs w:val="24"/>
        </w:rPr>
        <w:t>2X</w:t>
      </w:r>
      <w:r w:rsidRPr="002D2586">
        <w:rPr>
          <w:rFonts w:ascii="Garamond" w:hAnsi="Garamond"/>
          <w:sz w:val="24"/>
          <w:szCs w:val="24"/>
        </w:rPr>
        <w:tab/>
      </w:r>
      <w:r w:rsidR="001325AC" w:rsidRPr="002D2586">
        <w:rPr>
          <w:rFonts w:ascii="Garamond" w:hAnsi="Garamond"/>
          <w:sz w:val="24"/>
          <w:szCs w:val="24"/>
        </w:rPr>
        <w:t>Broadcast Journalism</w:t>
      </w:r>
      <w:r w:rsidR="00FB2C87">
        <w:rPr>
          <w:rFonts w:ascii="Garamond" w:hAnsi="Garamond"/>
          <w:sz w:val="24"/>
          <w:szCs w:val="24"/>
        </w:rPr>
        <w:t xml:space="preserve"> [Television Reporting &amp; Film]</w:t>
      </w:r>
    </w:p>
    <w:p w:rsidR="00002987" w:rsidRPr="002D2586" w:rsidRDefault="00002987" w:rsidP="002D2586">
      <w:pPr>
        <w:pStyle w:val="NoSpacing"/>
        <w:rPr>
          <w:rFonts w:ascii="Garamond" w:hAnsi="Garamond"/>
          <w:sz w:val="24"/>
          <w:szCs w:val="24"/>
        </w:rPr>
      </w:pPr>
      <w:r w:rsidRPr="002D2586">
        <w:rPr>
          <w:rFonts w:ascii="Garamond" w:hAnsi="Garamond"/>
          <w:sz w:val="24"/>
          <w:szCs w:val="24"/>
        </w:rPr>
        <w:t>X</w:t>
      </w:r>
      <w:r w:rsidR="001325AC" w:rsidRPr="002D2586">
        <w:rPr>
          <w:rFonts w:ascii="Garamond" w:hAnsi="Garamond"/>
          <w:sz w:val="24"/>
          <w:szCs w:val="24"/>
        </w:rPr>
        <w:t>3</w:t>
      </w:r>
      <w:r w:rsidRPr="002D2586">
        <w:rPr>
          <w:rFonts w:ascii="Garamond" w:hAnsi="Garamond"/>
          <w:sz w:val="24"/>
          <w:szCs w:val="24"/>
        </w:rPr>
        <w:t>3X</w:t>
      </w:r>
      <w:r w:rsidRPr="002D2586">
        <w:rPr>
          <w:rFonts w:ascii="Garamond" w:hAnsi="Garamond"/>
          <w:sz w:val="24"/>
          <w:szCs w:val="24"/>
        </w:rPr>
        <w:tab/>
      </w:r>
      <w:r w:rsidR="001325AC" w:rsidRPr="002D2586">
        <w:rPr>
          <w:rFonts w:ascii="Garamond" w:hAnsi="Garamond"/>
          <w:sz w:val="24"/>
          <w:szCs w:val="24"/>
        </w:rPr>
        <w:t>Feature Writing</w:t>
      </w:r>
    </w:p>
    <w:p w:rsidR="001325AC" w:rsidRPr="002D2586" w:rsidRDefault="001325AC" w:rsidP="002D2586">
      <w:pPr>
        <w:pStyle w:val="NoSpacing"/>
        <w:rPr>
          <w:rFonts w:ascii="Garamond" w:hAnsi="Garamond"/>
          <w:sz w:val="24"/>
          <w:szCs w:val="24"/>
        </w:rPr>
      </w:pPr>
      <w:r w:rsidRPr="002D2586">
        <w:rPr>
          <w:rFonts w:ascii="Garamond" w:hAnsi="Garamond"/>
          <w:sz w:val="24"/>
          <w:szCs w:val="24"/>
        </w:rPr>
        <w:t>X34X</w:t>
      </w:r>
      <w:r w:rsidRPr="002D2586">
        <w:rPr>
          <w:rFonts w:ascii="Garamond" w:hAnsi="Garamond"/>
          <w:sz w:val="24"/>
          <w:szCs w:val="24"/>
        </w:rPr>
        <w:tab/>
      </w:r>
      <w:r w:rsidR="00FB2C87">
        <w:rPr>
          <w:rFonts w:ascii="Garamond" w:hAnsi="Garamond"/>
          <w:sz w:val="24"/>
          <w:szCs w:val="24"/>
        </w:rPr>
        <w:t>Multimedia Technologies</w:t>
      </w:r>
    </w:p>
    <w:p w:rsidR="001325AC" w:rsidRPr="002D2586" w:rsidRDefault="00FB2C87" w:rsidP="002D2586">
      <w:pPr>
        <w:pStyle w:val="NoSpacing"/>
        <w:rPr>
          <w:rFonts w:ascii="Garamond" w:hAnsi="Garamond"/>
          <w:sz w:val="24"/>
          <w:szCs w:val="24"/>
        </w:rPr>
      </w:pPr>
      <w:r>
        <w:rPr>
          <w:rFonts w:ascii="Garamond" w:hAnsi="Garamond"/>
          <w:sz w:val="24"/>
          <w:szCs w:val="24"/>
        </w:rPr>
        <w:t>X35X</w:t>
      </w:r>
      <w:r>
        <w:rPr>
          <w:rFonts w:ascii="Garamond" w:hAnsi="Garamond"/>
          <w:sz w:val="24"/>
          <w:szCs w:val="24"/>
        </w:rPr>
        <w:tab/>
        <w:t>Business Reporting</w:t>
      </w:r>
    </w:p>
    <w:p w:rsidR="001325AC" w:rsidRPr="002D2586" w:rsidRDefault="001325AC" w:rsidP="002D2586">
      <w:pPr>
        <w:pStyle w:val="NoSpacing"/>
        <w:rPr>
          <w:rFonts w:ascii="Garamond" w:hAnsi="Garamond"/>
          <w:sz w:val="24"/>
          <w:szCs w:val="24"/>
        </w:rPr>
      </w:pPr>
      <w:r w:rsidRPr="002D2586">
        <w:rPr>
          <w:rFonts w:ascii="Garamond" w:hAnsi="Garamond"/>
          <w:sz w:val="24"/>
          <w:szCs w:val="24"/>
        </w:rPr>
        <w:t>X36X</w:t>
      </w:r>
      <w:r w:rsidRPr="002D2586">
        <w:rPr>
          <w:rFonts w:ascii="Garamond" w:hAnsi="Garamond"/>
          <w:sz w:val="24"/>
          <w:szCs w:val="24"/>
        </w:rPr>
        <w:tab/>
        <w:t>Digital Media</w:t>
      </w:r>
    </w:p>
    <w:p w:rsidR="001325AC" w:rsidRPr="002D2586" w:rsidRDefault="001325AC" w:rsidP="002D2586">
      <w:pPr>
        <w:pStyle w:val="NoSpacing"/>
        <w:rPr>
          <w:rFonts w:ascii="Garamond" w:hAnsi="Garamond"/>
          <w:sz w:val="24"/>
          <w:szCs w:val="24"/>
        </w:rPr>
      </w:pPr>
      <w:r w:rsidRPr="002D2586">
        <w:rPr>
          <w:rFonts w:ascii="Garamond" w:hAnsi="Garamond"/>
          <w:sz w:val="24"/>
          <w:szCs w:val="24"/>
        </w:rPr>
        <w:t>X37X</w:t>
      </w:r>
      <w:r w:rsidRPr="002D2586">
        <w:rPr>
          <w:rFonts w:ascii="Garamond" w:hAnsi="Garamond"/>
          <w:sz w:val="24"/>
          <w:szCs w:val="24"/>
        </w:rPr>
        <w:tab/>
        <w:t>Social Media for Magazines</w:t>
      </w:r>
    </w:p>
    <w:p w:rsidR="001325AC" w:rsidRPr="002D2586" w:rsidRDefault="001325AC" w:rsidP="002D2586">
      <w:pPr>
        <w:pStyle w:val="NoSpacing"/>
        <w:rPr>
          <w:rFonts w:ascii="Garamond" w:hAnsi="Garamond"/>
          <w:sz w:val="24"/>
          <w:szCs w:val="24"/>
        </w:rPr>
      </w:pPr>
      <w:r w:rsidRPr="002D2586">
        <w:rPr>
          <w:rFonts w:ascii="Garamond" w:hAnsi="Garamond"/>
          <w:sz w:val="24"/>
          <w:szCs w:val="24"/>
        </w:rPr>
        <w:t>X38X</w:t>
      </w:r>
      <w:r w:rsidRPr="002D2586">
        <w:rPr>
          <w:rFonts w:ascii="Garamond" w:hAnsi="Garamond"/>
          <w:sz w:val="24"/>
          <w:szCs w:val="24"/>
        </w:rPr>
        <w:tab/>
        <w:t>[Not Currently Used for any Courses]</w:t>
      </w:r>
    </w:p>
    <w:p w:rsidR="001325AC" w:rsidRPr="002D2586" w:rsidRDefault="001325AC" w:rsidP="002D2586">
      <w:pPr>
        <w:pStyle w:val="NoSpacing"/>
        <w:rPr>
          <w:rFonts w:ascii="Garamond" w:hAnsi="Garamond"/>
          <w:sz w:val="24"/>
          <w:szCs w:val="24"/>
        </w:rPr>
      </w:pPr>
      <w:r w:rsidRPr="002D2586">
        <w:rPr>
          <w:rFonts w:ascii="Garamond" w:hAnsi="Garamond"/>
          <w:sz w:val="24"/>
          <w:szCs w:val="24"/>
        </w:rPr>
        <w:t>X39X</w:t>
      </w:r>
      <w:r w:rsidRPr="002D2586">
        <w:rPr>
          <w:rFonts w:ascii="Garamond" w:hAnsi="Garamond"/>
          <w:sz w:val="24"/>
          <w:szCs w:val="24"/>
        </w:rPr>
        <w:tab/>
        <w:t>Specialty Journalism</w:t>
      </w:r>
    </w:p>
    <w:p w:rsidR="002D2586" w:rsidRDefault="002D2586">
      <w:pPr>
        <w:rPr>
          <w:rFonts w:ascii="Garamond" w:hAnsi="Garamond"/>
          <w:sz w:val="24"/>
          <w:szCs w:val="24"/>
        </w:rPr>
      </w:pPr>
    </w:p>
    <w:p w:rsidR="001325AC" w:rsidRDefault="001325AC">
      <w:pPr>
        <w:rPr>
          <w:rFonts w:ascii="Garamond" w:hAnsi="Garamond"/>
          <w:sz w:val="24"/>
          <w:szCs w:val="24"/>
        </w:rPr>
      </w:pPr>
      <w:r>
        <w:rPr>
          <w:rFonts w:ascii="Garamond" w:hAnsi="Garamond"/>
          <w:sz w:val="24"/>
          <w:szCs w:val="24"/>
        </w:rPr>
        <w:t xml:space="preserve">Individual courses then fit into the decades. </w:t>
      </w:r>
      <w:r w:rsidR="00174D74">
        <w:rPr>
          <w:rFonts w:ascii="Garamond" w:hAnsi="Garamond"/>
          <w:sz w:val="24"/>
          <w:szCs w:val="24"/>
        </w:rPr>
        <w:t>This allows universities to delineate distinctions between Metro Reporting, for example, and Covering the City.</w:t>
      </w:r>
    </w:p>
    <w:p w:rsidR="00174D74" w:rsidRDefault="00174D74">
      <w:pPr>
        <w:rPr>
          <w:rFonts w:ascii="Garamond" w:hAnsi="Garamond"/>
          <w:sz w:val="24"/>
          <w:szCs w:val="24"/>
        </w:rPr>
      </w:pPr>
      <w:r>
        <w:rPr>
          <w:rFonts w:ascii="Garamond" w:hAnsi="Garamond"/>
          <w:noProof/>
          <w:sz w:val="24"/>
          <w:szCs w:val="24"/>
        </w:rPr>
        <w:lastRenderedPageBreak/>
        <w:drawing>
          <wp:inline distT="0" distB="0" distL="0" distR="0">
            <wp:extent cx="5943600" cy="3476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7-17 (6).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476625"/>
                    </a:xfrm>
                    <a:prstGeom prst="rect">
                      <a:avLst/>
                    </a:prstGeom>
                  </pic:spPr>
                </pic:pic>
              </a:graphicData>
            </a:graphic>
          </wp:inline>
        </w:drawing>
      </w:r>
    </w:p>
    <w:p w:rsidR="00174D74" w:rsidRDefault="00174D74">
      <w:pPr>
        <w:rPr>
          <w:rFonts w:ascii="Garamond" w:hAnsi="Garamond"/>
          <w:sz w:val="24"/>
          <w:szCs w:val="24"/>
        </w:rPr>
      </w:pPr>
      <w:r>
        <w:rPr>
          <w:rFonts w:ascii="Garamond" w:hAnsi="Garamond"/>
          <w:sz w:val="24"/>
          <w:szCs w:val="24"/>
        </w:rPr>
        <w:t xml:space="preserve">Notice the lower-level and upper-level courses </w:t>
      </w:r>
      <w:proofErr w:type="gramStart"/>
      <w:r>
        <w:rPr>
          <w:rFonts w:ascii="Garamond" w:hAnsi="Garamond"/>
          <w:sz w:val="24"/>
          <w:szCs w:val="24"/>
        </w:rPr>
        <w:t>are categorized</w:t>
      </w:r>
      <w:proofErr w:type="gramEnd"/>
      <w:r>
        <w:rPr>
          <w:rFonts w:ascii="Garamond" w:hAnsi="Garamond"/>
          <w:sz w:val="24"/>
          <w:szCs w:val="24"/>
        </w:rPr>
        <w:t xml:space="preserve"> by century and decade, emphasizing the content rather than the level.</w:t>
      </w:r>
      <w:r w:rsidR="005F4046">
        <w:rPr>
          <w:rFonts w:ascii="Garamond" w:hAnsi="Garamond"/>
          <w:sz w:val="24"/>
          <w:szCs w:val="24"/>
        </w:rPr>
        <w:t xml:space="preserve"> Thus, EFSC’s JOU 1200 [Newspaper Layout and Editing] has the same number as FIU’s JOUR 3200 –Editing and Makeup], but the level is distinct. The upper-level course has a Visual Design and Media course as a required prerequisite</w:t>
      </w:r>
      <w:r w:rsidR="00FB2C87">
        <w:rPr>
          <w:rFonts w:ascii="Garamond" w:hAnsi="Garamond"/>
          <w:sz w:val="24"/>
          <w:szCs w:val="24"/>
        </w:rPr>
        <w:t>. Level is very important when determining a transfer credit equivalency, but it is not the determiner of the other three digits in a course number.</w:t>
      </w:r>
    </w:p>
    <w:p w:rsidR="00174D74" w:rsidRDefault="00C17233">
      <w:pPr>
        <w:rPr>
          <w:rFonts w:ascii="Garamond" w:hAnsi="Garamond"/>
          <w:noProof/>
          <w:sz w:val="24"/>
          <w:szCs w:val="24"/>
        </w:rPr>
      </w:pPr>
      <w:r>
        <w:rPr>
          <w:rFonts w:ascii="Garamond" w:hAnsi="Garamond"/>
          <w:noProof/>
          <w:sz w:val="24"/>
          <w:szCs w:val="24"/>
        </w:rPr>
        <w:drawing>
          <wp:inline distT="0" distB="0" distL="0" distR="0" wp14:anchorId="1AB5DEB2" wp14:editId="4E2D180C">
            <wp:extent cx="5943600" cy="3228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7-17 (2).png"/>
                    <pic:cNvPicPr/>
                  </pic:nvPicPr>
                  <pic:blipFill rotWithShape="1">
                    <a:blip r:embed="rId8">
                      <a:extLst>
                        <a:ext uri="{28A0092B-C50C-407E-A947-70E740481C1C}">
                          <a14:useLocalDpi xmlns:a14="http://schemas.microsoft.com/office/drawing/2010/main" val="0"/>
                        </a:ext>
                      </a:extLst>
                    </a:blip>
                    <a:srcRect b="24263"/>
                    <a:stretch/>
                  </pic:blipFill>
                  <pic:spPr bwMode="auto">
                    <a:xfrm>
                      <a:off x="0" y="0"/>
                      <a:ext cx="5943600" cy="3228975"/>
                    </a:xfrm>
                    <a:prstGeom prst="rect">
                      <a:avLst/>
                    </a:prstGeom>
                    <a:ln>
                      <a:noFill/>
                    </a:ln>
                    <a:extLst>
                      <a:ext uri="{53640926-AAD7-44D8-BBD7-CCE9431645EC}">
                        <a14:shadowObscured xmlns:a14="http://schemas.microsoft.com/office/drawing/2010/main"/>
                      </a:ext>
                    </a:extLst>
                  </pic:spPr>
                </pic:pic>
              </a:graphicData>
            </a:graphic>
          </wp:inline>
        </w:drawing>
      </w:r>
    </w:p>
    <w:p w:rsidR="00C17233" w:rsidRDefault="00C17233">
      <w:pPr>
        <w:rPr>
          <w:rFonts w:ascii="Garamond" w:hAnsi="Garamond"/>
          <w:noProof/>
          <w:sz w:val="24"/>
          <w:szCs w:val="24"/>
        </w:rPr>
      </w:pPr>
      <w:r>
        <w:rPr>
          <w:rFonts w:ascii="Garamond" w:hAnsi="Garamond"/>
          <w:noProof/>
          <w:sz w:val="24"/>
          <w:szCs w:val="24"/>
        </w:rPr>
        <w:lastRenderedPageBreak/>
        <w:t xml:space="preserve">Faculty members proposing courses can view the taxonomies for their disciplines by accessing the SCNS site. No login or password is required to view taxonomies, UCF courses, or statewide courses. </w:t>
      </w:r>
    </w:p>
    <w:p w:rsidR="00C17233" w:rsidRPr="00D86623" w:rsidRDefault="00C17233" w:rsidP="00C17233">
      <w:pPr>
        <w:jc w:val="center"/>
        <w:rPr>
          <w:b/>
        </w:rPr>
      </w:pPr>
      <w:hyperlink r:id="rId9" w:history="1">
        <w:r w:rsidRPr="00D86623">
          <w:rPr>
            <w:rStyle w:val="Hyperlink"/>
            <w:b/>
          </w:rPr>
          <w:t>https://flscns.fldoe.org/default.aspx</w:t>
        </w:r>
      </w:hyperlink>
      <w:r>
        <w:rPr>
          <w:b/>
        </w:rPr>
        <w:t xml:space="preserve"> (no login account information required)</w:t>
      </w:r>
    </w:p>
    <w:p w:rsidR="00C17233" w:rsidRDefault="00C17233" w:rsidP="00C17233">
      <w:r>
        <w:t>1.</w:t>
      </w:r>
      <w:proofErr w:type="gramStart"/>
      <w:r>
        <w:t>)At</w:t>
      </w:r>
      <w:proofErr w:type="gramEnd"/>
      <w:r>
        <w:t xml:space="preserve"> the top of the site menu </w:t>
      </w:r>
      <w:r w:rsidRPr="00D86623">
        <w:rPr>
          <w:b/>
        </w:rPr>
        <w:t xml:space="preserve">CLICK </w:t>
      </w:r>
      <w:r>
        <w:t>FIND A COURSE</w:t>
      </w:r>
    </w:p>
    <w:p w:rsidR="00C17233" w:rsidRDefault="00C17233" w:rsidP="00C17233">
      <w:r>
        <w:t>2.</w:t>
      </w:r>
      <w:proofErr w:type="gramStart"/>
      <w:r>
        <w:t>)</w:t>
      </w:r>
      <w:r w:rsidRPr="00D86623">
        <w:rPr>
          <w:b/>
        </w:rPr>
        <w:t>CLICK</w:t>
      </w:r>
      <w:proofErr w:type="gramEnd"/>
      <w:r>
        <w:t xml:space="preserve"> FIND A STATEWIDE COURSE</w:t>
      </w:r>
    </w:p>
    <w:p w:rsidR="00C17233" w:rsidRDefault="00C17233" w:rsidP="00C17233">
      <w:r>
        <w:t>3.</w:t>
      </w:r>
      <w:proofErr w:type="gramStart"/>
      <w:r>
        <w:t>)</w:t>
      </w:r>
      <w:r w:rsidRPr="00D86623">
        <w:rPr>
          <w:b/>
        </w:rPr>
        <w:t>CLICK</w:t>
      </w:r>
      <w:proofErr w:type="gramEnd"/>
      <w:r w:rsidRPr="00D86623">
        <w:rPr>
          <w:b/>
        </w:rPr>
        <w:t xml:space="preserve"> </w:t>
      </w:r>
      <w:r>
        <w:t>on blue tab BROWSE STATEWIDE COURSE</w:t>
      </w:r>
    </w:p>
    <w:p w:rsidR="00C17233" w:rsidRDefault="00C17233" w:rsidP="00C17233">
      <w:r>
        <w:t>4.</w:t>
      </w:r>
      <w:proofErr w:type="gramStart"/>
      <w:r>
        <w:t>)</w:t>
      </w:r>
      <w:r w:rsidRPr="00D86623">
        <w:rPr>
          <w:b/>
        </w:rPr>
        <w:t>SELECT</w:t>
      </w:r>
      <w:proofErr w:type="gramEnd"/>
      <w:r>
        <w:t xml:space="preserve"> DISCIPLINE FROM DROP DOWN (Prefix and Number Range should default “ALL” and click SEARCH</w:t>
      </w:r>
    </w:p>
    <w:p w:rsidR="00C17233" w:rsidRDefault="00C17233" w:rsidP="00C17233">
      <w:r>
        <w:t xml:space="preserve">This will bring you the </w:t>
      </w:r>
      <w:proofErr w:type="gramStart"/>
      <w:r>
        <w:t>Statewide</w:t>
      </w:r>
      <w:proofErr w:type="gramEnd"/>
      <w:r>
        <w:t xml:space="preserve"> taxonomy that lists any associated prefixes to the Discipline. Accounting has ACG, ACO</w:t>
      </w:r>
      <w:proofErr w:type="gramStart"/>
      <w:r>
        <w:t>,APA</w:t>
      </w:r>
      <w:proofErr w:type="gramEnd"/>
      <w:r>
        <w:t xml:space="preserve"> and Tax:</w:t>
      </w:r>
    </w:p>
    <w:p w:rsidR="00C17233" w:rsidRDefault="00C17233" w:rsidP="00C17233">
      <w:r>
        <w:rPr>
          <w:noProof/>
        </w:rPr>
        <w:drawing>
          <wp:inline distT="0" distB="0" distL="0" distR="0" wp14:anchorId="2ECE4276" wp14:editId="39D87D03">
            <wp:extent cx="5943600" cy="2581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19823"/>
                    <a:stretch/>
                  </pic:blipFill>
                  <pic:spPr bwMode="auto">
                    <a:xfrm>
                      <a:off x="0" y="0"/>
                      <a:ext cx="5943600" cy="2581275"/>
                    </a:xfrm>
                    <a:prstGeom prst="rect">
                      <a:avLst/>
                    </a:prstGeom>
                    <a:ln>
                      <a:noFill/>
                    </a:ln>
                    <a:extLst>
                      <a:ext uri="{53640926-AAD7-44D8-BBD7-CCE9431645EC}">
                        <a14:shadowObscured xmlns:a14="http://schemas.microsoft.com/office/drawing/2010/main"/>
                      </a:ext>
                    </a:extLst>
                  </pic:spPr>
                </pic:pic>
              </a:graphicData>
            </a:graphic>
          </wp:inline>
        </w:drawing>
      </w:r>
    </w:p>
    <w:p w:rsidR="00C17233" w:rsidRDefault="00C17233" w:rsidP="00C17233">
      <w:r>
        <w:t xml:space="preserve">Expand ACG prefix by </w:t>
      </w:r>
      <w:r>
        <w:rPr>
          <w:b/>
        </w:rPr>
        <w:t>CLIC</w:t>
      </w:r>
      <w:r w:rsidRPr="00D86623">
        <w:rPr>
          <w:b/>
        </w:rPr>
        <w:t>KING</w:t>
      </w:r>
      <w:r>
        <w:t xml:space="preserve"> on the blue arrow and that will list the centuries:</w:t>
      </w:r>
    </w:p>
    <w:p w:rsidR="00C17233" w:rsidRDefault="00C17233" w:rsidP="00C17233">
      <w:r>
        <w:rPr>
          <w:noProof/>
        </w:rPr>
        <w:drawing>
          <wp:inline distT="0" distB="0" distL="0" distR="0" wp14:anchorId="4140B541" wp14:editId="6A765E4B">
            <wp:extent cx="5943600"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 b="25442"/>
                    <a:stretch/>
                  </pic:blipFill>
                  <pic:spPr bwMode="auto">
                    <a:xfrm>
                      <a:off x="0" y="0"/>
                      <a:ext cx="5943600" cy="2400300"/>
                    </a:xfrm>
                    <a:prstGeom prst="rect">
                      <a:avLst/>
                    </a:prstGeom>
                    <a:ln>
                      <a:noFill/>
                    </a:ln>
                    <a:extLst>
                      <a:ext uri="{53640926-AAD7-44D8-BBD7-CCE9431645EC}">
                        <a14:shadowObscured xmlns:a14="http://schemas.microsoft.com/office/drawing/2010/main"/>
                      </a:ext>
                    </a:extLst>
                  </pic:spPr>
                </pic:pic>
              </a:graphicData>
            </a:graphic>
          </wp:inline>
        </w:drawing>
      </w:r>
    </w:p>
    <w:p w:rsidR="00C17233" w:rsidRDefault="00C17233" w:rsidP="00C17233">
      <w:r w:rsidRPr="00D86623">
        <w:rPr>
          <w:b/>
        </w:rPr>
        <w:lastRenderedPageBreak/>
        <w:t>CLICK</w:t>
      </w:r>
      <w:r>
        <w:t xml:space="preserve"> on the blue arrow again to see the decades in each century (</w:t>
      </w:r>
      <w:r>
        <w:t>i.e.</w:t>
      </w:r>
      <w:r>
        <w:t xml:space="preserve"> </w:t>
      </w:r>
      <w:r w:rsidRPr="00D86623">
        <w:rPr>
          <w:b/>
        </w:rPr>
        <w:t xml:space="preserve">CLICK </w:t>
      </w:r>
      <w:r>
        <w:t>Principles of Accounting).</w:t>
      </w:r>
    </w:p>
    <w:p w:rsidR="00C17233" w:rsidRDefault="00C17233" w:rsidP="00C17233">
      <w:r>
        <w:rPr>
          <w:noProof/>
        </w:rPr>
        <w:drawing>
          <wp:inline distT="0" distB="0" distL="0" distR="0" wp14:anchorId="5A0C61B9" wp14:editId="280DE76D">
            <wp:extent cx="5943600"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219450"/>
                    </a:xfrm>
                    <a:prstGeom prst="rect">
                      <a:avLst/>
                    </a:prstGeom>
                  </pic:spPr>
                </pic:pic>
              </a:graphicData>
            </a:graphic>
          </wp:inline>
        </w:drawing>
      </w:r>
    </w:p>
    <w:p w:rsidR="00C17233" w:rsidRDefault="00C17233" w:rsidP="00C17233"/>
    <w:p w:rsidR="00C17233" w:rsidRDefault="0073560A">
      <w:pPr>
        <w:rPr>
          <w:rFonts w:ascii="Garamond" w:hAnsi="Garamond"/>
          <w:sz w:val="24"/>
          <w:szCs w:val="24"/>
        </w:rPr>
      </w:pPr>
      <w:r>
        <w:rPr>
          <w:rFonts w:ascii="Garamond" w:hAnsi="Garamond"/>
          <w:sz w:val="24"/>
          <w:szCs w:val="24"/>
        </w:rPr>
        <w:t xml:space="preserve">You can also see which institutions have active courses within a century, decade, or number and review those course descriptions by clicking on Find a Course, Find a Statewide Course, and selecting the Discipline and Prefix. Selecting History and WOH [World History], for example, produces six pages of offerings. </w:t>
      </w:r>
    </w:p>
    <w:p w:rsidR="00E01DD6" w:rsidRDefault="0073560A">
      <w:pPr>
        <w:rPr>
          <w:rFonts w:ascii="Garamond" w:hAnsi="Garamond"/>
          <w:sz w:val="24"/>
          <w:szCs w:val="24"/>
        </w:rPr>
      </w:pPr>
      <w:r>
        <w:rPr>
          <w:rFonts w:ascii="Garamond" w:hAnsi="Garamond"/>
          <w:sz w:val="24"/>
          <w:szCs w:val="24"/>
        </w:rPr>
        <w:t xml:space="preserve">If you click on page 2, WOH 044 [which is X044 since levels are not included in the taxonomy] is in the middle of the page. Clicking on </w:t>
      </w:r>
      <w:r w:rsidR="00E01DD6">
        <w:rPr>
          <w:rFonts w:ascii="Garamond" w:hAnsi="Garamond"/>
          <w:sz w:val="24"/>
          <w:szCs w:val="24"/>
        </w:rPr>
        <w:t>W04 044</w:t>
      </w:r>
      <w:r>
        <w:rPr>
          <w:rFonts w:ascii="Garamond" w:hAnsi="Garamond"/>
          <w:sz w:val="24"/>
          <w:szCs w:val="24"/>
        </w:rPr>
        <w:t xml:space="preserve"> gives you the general information about the courses in that decade. Clicking on the Institutions tab reveals that only </w:t>
      </w:r>
      <w:r w:rsidR="00E01DD6">
        <w:rPr>
          <w:rFonts w:ascii="Garamond" w:hAnsi="Garamond"/>
          <w:sz w:val="24"/>
          <w:szCs w:val="24"/>
        </w:rPr>
        <w:t>Florida Gulf Coast University</w:t>
      </w:r>
      <w:r>
        <w:rPr>
          <w:rFonts w:ascii="Garamond" w:hAnsi="Garamond"/>
          <w:sz w:val="24"/>
          <w:szCs w:val="24"/>
        </w:rPr>
        <w:t xml:space="preserve"> has an active course in that decade. If UCF wanted to create a new undergraduate course that</w:t>
      </w:r>
      <w:r w:rsidR="00E01DD6">
        <w:rPr>
          <w:rFonts w:ascii="Garamond" w:hAnsi="Garamond"/>
          <w:sz w:val="24"/>
          <w:szCs w:val="24"/>
        </w:rPr>
        <w:t xml:space="preserve"> focused on 20</w:t>
      </w:r>
      <w:r w:rsidR="00E01DD6" w:rsidRPr="00E01DD6">
        <w:rPr>
          <w:rFonts w:ascii="Garamond" w:hAnsi="Garamond"/>
          <w:sz w:val="24"/>
          <w:szCs w:val="24"/>
          <w:vertAlign w:val="superscript"/>
        </w:rPr>
        <w:t>th</w:t>
      </w:r>
      <w:r w:rsidR="00E01DD6">
        <w:rPr>
          <w:rFonts w:ascii="Garamond" w:hAnsi="Garamond"/>
          <w:sz w:val="24"/>
          <w:szCs w:val="24"/>
        </w:rPr>
        <w:t xml:space="preserve"> century world history, the History Department could use the State Course Detail information along with a review of FGCU’s course to determine if its new course would fit into that number. If so, UCF could propose a new course as either WOH 3044 or WOH 4044, depending on where the course would fit into the curriculum, the prerequisites required, readings, and more. </w:t>
      </w:r>
    </w:p>
    <w:p w:rsidR="0073560A" w:rsidRDefault="00E01DD6">
      <w:pPr>
        <w:rPr>
          <w:rFonts w:ascii="Garamond" w:hAnsi="Garamond"/>
          <w:sz w:val="24"/>
          <w:szCs w:val="24"/>
        </w:rPr>
      </w:pPr>
      <w:r>
        <w:rPr>
          <w:rFonts w:ascii="Garamond" w:hAnsi="Garamond"/>
          <w:sz w:val="24"/>
          <w:szCs w:val="24"/>
        </w:rPr>
        <w:t xml:space="preserve">Notice that the FGCU course includes the statement “guaranteed transfer to institution offering same course” at the bottom of the Institution Course Detail. This is an important reminder that the reason the state wants to ensure UCF’s </w:t>
      </w:r>
      <w:r>
        <w:rPr>
          <w:rFonts w:ascii="Garamond" w:hAnsi="Garamond"/>
          <w:sz w:val="24"/>
          <w:szCs w:val="24"/>
        </w:rPr>
        <w:t>WOH 3044 or WOH 4044</w:t>
      </w:r>
      <w:r>
        <w:rPr>
          <w:rFonts w:ascii="Garamond" w:hAnsi="Garamond"/>
          <w:sz w:val="24"/>
          <w:szCs w:val="24"/>
        </w:rPr>
        <w:t xml:space="preserve"> is demonstrably similar to FGCU’s course is that each institution would be required to automatically accept the other’s</w:t>
      </w:r>
      <w:r w:rsidR="00BE41A6">
        <w:rPr>
          <w:rFonts w:ascii="Garamond" w:hAnsi="Garamond"/>
          <w:sz w:val="24"/>
          <w:szCs w:val="24"/>
        </w:rPr>
        <w:t xml:space="preserve"> course</w:t>
      </w:r>
      <w:r>
        <w:rPr>
          <w:rFonts w:ascii="Garamond" w:hAnsi="Garamond"/>
          <w:sz w:val="24"/>
          <w:szCs w:val="24"/>
        </w:rPr>
        <w:t xml:space="preserve"> for transfer credit. Therefore, the content should be ~80% the same. This </w:t>
      </w:r>
      <w:proofErr w:type="gramStart"/>
      <w:r>
        <w:rPr>
          <w:rFonts w:ascii="Garamond" w:hAnsi="Garamond"/>
          <w:sz w:val="24"/>
          <w:szCs w:val="24"/>
        </w:rPr>
        <w:t>is determined</w:t>
      </w:r>
      <w:proofErr w:type="gramEnd"/>
      <w:r>
        <w:rPr>
          <w:rFonts w:ascii="Garamond" w:hAnsi="Garamond"/>
          <w:sz w:val="24"/>
          <w:szCs w:val="24"/>
        </w:rPr>
        <w:t xml:space="preserve"> by course description, learning outcomes and major topics, credit hours, prerequisites, and readings. </w:t>
      </w:r>
      <w:r w:rsidR="00BE41A6">
        <w:rPr>
          <w:rFonts w:ascii="Garamond" w:hAnsi="Garamond"/>
          <w:sz w:val="24"/>
          <w:szCs w:val="24"/>
        </w:rPr>
        <w:t>Again, the level is important in a transfer credit decision but not a course numbering decision.</w:t>
      </w:r>
      <w:r w:rsidR="0073560A">
        <w:rPr>
          <w:rFonts w:ascii="Garamond" w:hAnsi="Garamond"/>
          <w:sz w:val="24"/>
          <w:szCs w:val="24"/>
        </w:rPr>
        <w:t xml:space="preserve"> </w:t>
      </w:r>
    </w:p>
    <w:p w:rsidR="00BE41A6" w:rsidRDefault="00BE41A6">
      <w:pPr>
        <w:rPr>
          <w:rFonts w:ascii="Garamond" w:hAnsi="Garamond"/>
          <w:sz w:val="24"/>
          <w:szCs w:val="24"/>
        </w:rPr>
      </w:pPr>
      <w:r>
        <w:rPr>
          <w:rFonts w:ascii="Garamond" w:hAnsi="Garamond"/>
          <w:noProof/>
          <w:sz w:val="24"/>
          <w:szCs w:val="24"/>
        </w:rPr>
        <w:lastRenderedPageBreak/>
        <w:drawing>
          <wp:inline distT="0" distB="0" distL="0" distR="0">
            <wp:extent cx="5943600" cy="3749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7-19_L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49040"/>
                    </a:xfrm>
                    <a:prstGeom prst="rect">
                      <a:avLst/>
                    </a:prstGeom>
                  </pic:spPr>
                </pic:pic>
              </a:graphicData>
            </a:graphic>
          </wp:inline>
        </w:drawing>
      </w:r>
    </w:p>
    <w:p w:rsidR="00BE41A6" w:rsidRDefault="00BE41A6">
      <w:pPr>
        <w:rPr>
          <w:rFonts w:ascii="Garamond" w:hAnsi="Garamond"/>
          <w:sz w:val="24"/>
          <w:szCs w:val="24"/>
        </w:rPr>
      </w:pPr>
    </w:p>
    <w:p w:rsidR="00BE41A6" w:rsidRPr="002F3514" w:rsidRDefault="00BE41A6">
      <w:pPr>
        <w:rPr>
          <w:rFonts w:ascii="Garamond" w:hAnsi="Garamond"/>
          <w:sz w:val="24"/>
          <w:szCs w:val="24"/>
          <w:u w:val="single"/>
        </w:rPr>
      </w:pPr>
      <w:r w:rsidRPr="002F3514">
        <w:rPr>
          <w:rFonts w:ascii="Garamond" w:hAnsi="Garamond"/>
          <w:sz w:val="24"/>
          <w:szCs w:val="24"/>
          <w:u w:val="single"/>
        </w:rPr>
        <w:t xml:space="preserve">UCF Resources to Assist with the Selection of a Course Number </w:t>
      </w:r>
    </w:p>
    <w:p w:rsidR="00BE41A6" w:rsidRDefault="00BE41A6">
      <w:pPr>
        <w:rPr>
          <w:rFonts w:ascii="Garamond" w:hAnsi="Garamond"/>
          <w:sz w:val="24"/>
          <w:szCs w:val="24"/>
        </w:rPr>
      </w:pPr>
      <w:r>
        <w:rPr>
          <w:rFonts w:ascii="Garamond" w:hAnsi="Garamond"/>
          <w:sz w:val="24"/>
          <w:szCs w:val="24"/>
        </w:rPr>
        <w:t xml:space="preserve">The following UCF faculty members serve as Discipline Coordinators (DCs) for the State Course Numbering System. They have extensive experience reviewing new course proposals from institutions across the state and are familiar with the taxonomy structure. </w:t>
      </w:r>
    </w:p>
    <w:p w:rsidR="00BE41A6" w:rsidRPr="00BE41A6" w:rsidRDefault="00BE41A6" w:rsidP="00BE41A6">
      <w:pPr>
        <w:pStyle w:val="NoSpacing"/>
        <w:rPr>
          <w:rFonts w:ascii="Garamond" w:hAnsi="Garamond"/>
          <w:sz w:val="24"/>
          <w:szCs w:val="24"/>
        </w:rPr>
      </w:pPr>
      <w:r w:rsidRPr="00BE41A6">
        <w:rPr>
          <w:rFonts w:ascii="Garamond" w:hAnsi="Garamond"/>
          <w:sz w:val="24"/>
          <w:szCs w:val="24"/>
        </w:rPr>
        <w:t>Dr. John Schultz – Anthropology</w:t>
      </w:r>
    </w:p>
    <w:p w:rsidR="00BE41A6" w:rsidRPr="00BE41A6" w:rsidRDefault="00BE41A6" w:rsidP="00BE41A6">
      <w:pPr>
        <w:pStyle w:val="NoSpacing"/>
        <w:rPr>
          <w:rFonts w:ascii="Garamond" w:hAnsi="Garamond"/>
          <w:sz w:val="24"/>
          <w:szCs w:val="24"/>
        </w:rPr>
      </w:pPr>
      <w:r w:rsidRPr="00BE41A6">
        <w:rPr>
          <w:rFonts w:ascii="Garamond" w:hAnsi="Garamond"/>
          <w:sz w:val="24"/>
          <w:szCs w:val="24"/>
        </w:rPr>
        <w:t xml:space="preserve">Dr. Seth </w:t>
      </w:r>
      <w:proofErr w:type="spellStart"/>
      <w:r w:rsidRPr="00BE41A6">
        <w:rPr>
          <w:rFonts w:ascii="Garamond" w:hAnsi="Garamond"/>
          <w:sz w:val="24"/>
          <w:szCs w:val="24"/>
        </w:rPr>
        <w:t>Elsheimer</w:t>
      </w:r>
      <w:proofErr w:type="spellEnd"/>
      <w:r w:rsidRPr="00BE41A6">
        <w:rPr>
          <w:rFonts w:ascii="Garamond" w:hAnsi="Garamond"/>
          <w:sz w:val="24"/>
          <w:szCs w:val="24"/>
        </w:rPr>
        <w:t xml:space="preserve"> – Chemistry</w:t>
      </w:r>
    </w:p>
    <w:p w:rsidR="00BE41A6" w:rsidRPr="00BE41A6" w:rsidRDefault="00BE41A6" w:rsidP="00BE41A6">
      <w:pPr>
        <w:pStyle w:val="NoSpacing"/>
        <w:rPr>
          <w:rFonts w:ascii="Garamond" w:hAnsi="Garamond"/>
          <w:sz w:val="24"/>
          <w:szCs w:val="24"/>
        </w:rPr>
      </w:pPr>
      <w:r w:rsidRPr="00BE41A6">
        <w:rPr>
          <w:rFonts w:ascii="Garamond" w:hAnsi="Garamond"/>
          <w:sz w:val="24"/>
          <w:szCs w:val="24"/>
        </w:rPr>
        <w:t>Dr. Florin Mihai – ESL</w:t>
      </w:r>
    </w:p>
    <w:p w:rsidR="00BE41A6" w:rsidRPr="00BE41A6" w:rsidRDefault="00BE41A6" w:rsidP="00BE41A6">
      <w:pPr>
        <w:pStyle w:val="NoSpacing"/>
        <w:rPr>
          <w:rFonts w:ascii="Garamond" w:hAnsi="Garamond"/>
          <w:sz w:val="24"/>
          <w:szCs w:val="24"/>
        </w:rPr>
      </w:pPr>
      <w:r w:rsidRPr="00BE41A6">
        <w:rPr>
          <w:rFonts w:ascii="Garamond" w:hAnsi="Garamond"/>
          <w:sz w:val="24"/>
          <w:szCs w:val="24"/>
        </w:rPr>
        <w:t>Dr. John Sacher – History</w:t>
      </w:r>
    </w:p>
    <w:p w:rsidR="00BE41A6" w:rsidRPr="00BE41A6" w:rsidRDefault="00BE41A6" w:rsidP="00BE41A6">
      <w:pPr>
        <w:pStyle w:val="NoSpacing"/>
        <w:rPr>
          <w:rFonts w:ascii="Garamond" w:hAnsi="Garamond"/>
          <w:sz w:val="24"/>
          <w:szCs w:val="24"/>
        </w:rPr>
      </w:pPr>
      <w:r w:rsidRPr="00BE41A6">
        <w:rPr>
          <w:rFonts w:ascii="Garamond" w:hAnsi="Garamond"/>
          <w:sz w:val="24"/>
          <w:szCs w:val="24"/>
        </w:rPr>
        <w:t>Dr. Bruce Janz – Humanities</w:t>
      </w:r>
    </w:p>
    <w:p w:rsidR="00BE41A6" w:rsidRPr="00BE41A6" w:rsidRDefault="00BE41A6" w:rsidP="00BE41A6">
      <w:pPr>
        <w:pStyle w:val="NoSpacing"/>
        <w:rPr>
          <w:rFonts w:ascii="Garamond" w:hAnsi="Garamond"/>
          <w:sz w:val="24"/>
          <w:szCs w:val="24"/>
        </w:rPr>
      </w:pPr>
      <w:r w:rsidRPr="00BE41A6">
        <w:rPr>
          <w:rFonts w:ascii="Garamond" w:hAnsi="Garamond"/>
          <w:sz w:val="24"/>
          <w:szCs w:val="24"/>
        </w:rPr>
        <w:t>Prof. George Bagley – Mass Communication</w:t>
      </w:r>
    </w:p>
    <w:p w:rsidR="00BE41A6" w:rsidRPr="00BE41A6" w:rsidRDefault="00BE41A6" w:rsidP="00BE41A6">
      <w:pPr>
        <w:pStyle w:val="NoSpacing"/>
        <w:rPr>
          <w:rFonts w:ascii="Garamond" w:hAnsi="Garamond"/>
          <w:sz w:val="24"/>
          <w:szCs w:val="24"/>
        </w:rPr>
      </w:pPr>
      <w:r w:rsidRPr="00BE41A6">
        <w:rPr>
          <w:rFonts w:ascii="Garamond" w:hAnsi="Garamond"/>
          <w:sz w:val="24"/>
          <w:szCs w:val="24"/>
        </w:rPr>
        <w:t>Dr. Heath Martin – Mathematics</w:t>
      </w:r>
    </w:p>
    <w:p w:rsidR="00BE41A6" w:rsidRPr="00BE41A6" w:rsidRDefault="00BE41A6" w:rsidP="00BE41A6">
      <w:pPr>
        <w:pStyle w:val="NoSpacing"/>
        <w:rPr>
          <w:rFonts w:ascii="Garamond" w:hAnsi="Garamond"/>
          <w:sz w:val="24"/>
          <w:szCs w:val="24"/>
        </w:rPr>
      </w:pPr>
      <w:r w:rsidRPr="00BE41A6">
        <w:rPr>
          <w:rFonts w:ascii="Garamond" w:hAnsi="Garamond"/>
          <w:sz w:val="24"/>
          <w:szCs w:val="24"/>
        </w:rPr>
        <w:t xml:space="preserve">Dr. </w:t>
      </w:r>
      <w:proofErr w:type="spellStart"/>
      <w:r w:rsidRPr="00BE41A6">
        <w:rPr>
          <w:rFonts w:ascii="Garamond" w:hAnsi="Garamond"/>
          <w:sz w:val="24"/>
          <w:szCs w:val="24"/>
        </w:rPr>
        <w:t>Hyoung</w:t>
      </w:r>
      <w:proofErr w:type="spellEnd"/>
      <w:r w:rsidRPr="00BE41A6">
        <w:rPr>
          <w:rFonts w:ascii="Garamond" w:hAnsi="Garamond"/>
          <w:sz w:val="24"/>
          <w:szCs w:val="24"/>
        </w:rPr>
        <w:t xml:space="preserve"> </w:t>
      </w:r>
      <w:proofErr w:type="spellStart"/>
      <w:r w:rsidRPr="00BE41A6">
        <w:rPr>
          <w:rFonts w:ascii="Garamond" w:hAnsi="Garamond"/>
          <w:sz w:val="24"/>
          <w:szCs w:val="24"/>
        </w:rPr>
        <w:t>Jin</w:t>
      </w:r>
      <w:proofErr w:type="spellEnd"/>
      <w:r w:rsidRPr="00BE41A6">
        <w:rPr>
          <w:rFonts w:ascii="Garamond" w:hAnsi="Garamond"/>
          <w:sz w:val="24"/>
          <w:szCs w:val="24"/>
        </w:rPr>
        <w:t xml:space="preserve"> Cho – Mechanical Engineering</w:t>
      </w:r>
    </w:p>
    <w:p w:rsidR="00BE41A6" w:rsidRPr="00BE41A6" w:rsidRDefault="00BE41A6" w:rsidP="00BE41A6">
      <w:pPr>
        <w:pStyle w:val="NoSpacing"/>
        <w:rPr>
          <w:rFonts w:ascii="Garamond" w:hAnsi="Garamond"/>
          <w:sz w:val="24"/>
          <w:szCs w:val="24"/>
        </w:rPr>
      </w:pPr>
      <w:r w:rsidRPr="00BE41A6">
        <w:rPr>
          <w:rFonts w:ascii="Garamond" w:hAnsi="Garamond"/>
          <w:sz w:val="24"/>
          <w:szCs w:val="24"/>
        </w:rPr>
        <w:t>Prof. Steven Spencer – Photography</w:t>
      </w:r>
    </w:p>
    <w:p w:rsidR="00BE41A6" w:rsidRPr="00BE41A6" w:rsidRDefault="00BE41A6" w:rsidP="00BE41A6">
      <w:pPr>
        <w:pStyle w:val="NoSpacing"/>
        <w:rPr>
          <w:rFonts w:ascii="Garamond" w:hAnsi="Garamond"/>
          <w:sz w:val="24"/>
          <w:szCs w:val="24"/>
        </w:rPr>
      </w:pPr>
      <w:r w:rsidRPr="00BE41A6">
        <w:rPr>
          <w:rFonts w:ascii="Garamond" w:hAnsi="Garamond"/>
          <w:sz w:val="24"/>
          <w:szCs w:val="24"/>
        </w:rPr>
        <w:t xml:space="preserve">Dr. Patrick </w:t>
      </w:r>
      <w:proofErr w:type="spellStart"/>
      <w:r w:rsidRPr="00BE41A6">
        <w:rPr>
          <w:rFonts w:ascii="Garamond" w:hAnsi="Garamond"/>
          <w:sz w:val="24"/>
          <w:szCs w:val="24"/>
        </w:rPr>
        <w:t>Pabian</w:t>
      </w:r>
      <w:proofErr w:type="spellEnd"/>
      <w:r w:rsidRPr="00BE41A6">
        <w:rPr>
          <w:rFonts w:ascii="Garamond" w:hAnsi="Garamond"/>
          <w:sz w:val="24"/>
          <w:szCs w:val="24"/>
        </w:rPr>
        <w:t xml:space="preserve"> – Physical Therapy</w:t>
      </w:r>
    </w:p>
    <w:p w:rsidR="00BE41A6" w:rsidRPr="00BE41A6" w:rsidRDefault="00BE41A6" w:rsidP="00BE41A6">
      <w:pPr>
        <w:pStyle w:val="NoSpacing"/>
        <w:rPr>
          <w:rFonts w:ascii="Garamond" w:hAnsi="Garamond"/>
          <w:sz w:val="24"/>
          <w:szCs w:val="24"/>
        </w:rPr>
      </w:pPr>
      <w:r w:rsidRPr="00BE41A6">
        <w:rPr>
          <w:rFonts w:ascii="Garamond" w:hAnsi="Garamond"/>
          <w:sz w:val="24"/>
          <w:szCs w:val="24"/>
        </w:rPr>
        <w:t xml:space="preserve">Dr. Doan </w:t>
      </w:r>
      <w:proofErr w:type="spellStart"/>
      <w:r w:rsidRPr="00BE41A6">
        <w:rPr>
          <w:rFonts w:ascii="Garamond" w:hAnsi="Garamond"/>
          <w:sz w:val="24"/>
          <w:szCs w:val="24"/>
        </w:rPr>
        <w:t>Modianos</w:t>
      </w:r>
      <w:proofErr w:type="spellEnd"/>
      <w:r w:rsidRPr="00BE41A6">
        <w:rPr>
          <w:rFonts w:ascii="Garamond" w:hAnsi="Garamond"/>
          <w:sz w:val="24"/>
          <w:szCs w:val="24"/>
        </w:rPr>
        <w:t xml:space="preserve"> – Psychology</w:t>
      </w:r>
    </w:p>
    <w:p w:rsidR="00BE41A6" w:rsidRPr="00BE41A6" w:rsidRDefault="00BE41A6" w:rsidP="00BE41A6">
      <w:pPr>
        <w:pStyle w:val="NoSpacing"/>
        <w:rPr>
          <w:rFonts w:ascii="Garamond" w:hAnsi="Garamond"/>
          <w:sz w:val="24"/>
          <w:szCs w:val="24"/>
        </w:rPr>
      </w:pPr>
      <w:r w:rsidRPr="00BE41A6">
        <w:rPr>
          <w:rFonts w:ascii="Garamond" w:hAnsi="Garamond"/>
          <w:sz w:val="24"/>
          <w:szCs w:val="24"/>
        </w:rPr>
        <w:t xml:space="preserve">Dr. Mary Ann </w:t>
      </w:r>
      <w:proofErr w:type="spellStart"/>
      <w:r w:rsidRPr="00BE41A6">
        <w:rPr>
          <w:rFonts w:ascii="Garamond" w:hAnsi="Garamond"/>
          <w:sz w:val="24"/>
          <w:szCs w:val="24"/>
        </w:rPr>
        <w:t>Feldheim</w:t>
      </w:r>
      <w:proofErr w:type="spellEnd"/>
      <w:r w:rsidRPr="00BE41A6">
        <w:rPr>
          <w:rFonts w:ascii="Garamond" w:hAnsi="Garamond"/>
          <w:sz w:val="24"/>
          <w:szCs w:val="24"/>
        </w:rPr>
        <w:t xml:space="preserve"> – Public Administration</w:t>
      </w:r>
    </w:p>
    <w:p w:rsidR="00BE41A6" w:rsidRPr="00BE41A6" w:rsidRDefault="00BE41A6" w:rsidP="00BE41A6">
      <w:pPr>
        <w:pStyle w:val="NoSpacing"/>
        <w:rPr>
          <w:rFonts w:ascii="Garamond" w:hAnsi="Garamond"/>
          <w:sz w:val="24"/>
          <w:szCs w:val="24"/>
        </w:rPr>
      </w:pPr>
      <w:r w:rsidRPr="00BE41A6">
        <w:rPr>
          <w:rFonts w:ascii="Garamond" w:hAnsi="Garamond"/>
          <w:sz w:val="24"/>
          <w:szCs w:val="24"/>
        </w:rPr>
        <w:t>Dr. Robin Kohn – Social Work</w:t>
      </w:r>
    </w:p>
    <w:p w:rsidR="00BE41A6" w:rsidRPr="00BE41A6" w:rsidRDefault="00BE41A6" w:rsidP="00BE41A6">
      <w:pPr>
        <w:pStyle w:val="NoSpacing"/>
        <w:rPr>
          <w:rFonts w:ascii="Garamond" w:hAnsi="Garamond"/>
          <w:sz w:val="24"/>
          <w:szCs w:val="24"/>
        </w:rPr>
      </w:pPr>
      <w:r w:rsidRPr="00BE41A6">
        <w:rPr>
          <w:rFonts w:ascii="Garamond" w:hAnsi="Garamond"/>
          <w:sz w:val="24"/>
          <w:szCs w:val="24"/>
        </w:rPr>
        <w:t>Dr. Jay Corzine – Sociology</w:t>
      </w:r>
    </w:p>
    <w:p w:rsidR="00BE41A6" w:rsidRPr="00BE41A6" w:rsidRDefault="00BE41A6" w:rsidP="00BE41A6">
      <w:pPr>
        <w:pStyle w:val="NoSpacing"/>
        <w:rPr>
          <w:rFonts w:ascii="Garamond" w:hAnsi="Garamond"/>
          <w:sz w:val="24"/>
          <w:szCs w:val="24"/>
        </w:rPr>
      </w:pPr>
    </w:p>
    <w:p w:rsidR="00BE41A6" w:rsidRPr="00BE41A6" w:rsidRDefault="00BE41A6" w:rsidP="00BE41A6">
      <w:pPr>
        <w:pStyle w:val="NoSpacing"/>
        <w:rPr>
          <w:rFonts w:ascii="Garamond" w:hAnsi="Garamond"/>
          <w:sz w:val="24"/>
          <w:szCs w:val="24"/>
        </w:rPr>
      </w:pPr>
      <w:r w:rsidRPr="00BE41A6">
        <w:rPr>
          <w:rFonts w:ascii="Garamond" w:hAnsi="Garamond"/>
          <w:sz w:val="24"/>
          <w:szCs w:val="24"/>
        </w:rPr>
        <w:t>Dr. Keisha Hoerrner, UCF’s Institutional Contact for SCNS</w:t>
      </w:r>
    </w:p>
    <w:p w:rsidR="00BE41A6" w:rsidRPr="00BE41A6" w:rsidRDefault="00BE41A6" w:rsidP="00BE41A6">
      <w:pPr>
        <w:pStyle w:val="NoSpacing"/>
        <w:rPr>
          <w:rFonts w:ascii="Garamond" w:hAnsi="Garamond"/>
          <w:sz w:val="24"/>
          <w:szCs w:val="24"/>
        </w:rPr>
      </w:pPr>
      <w:r w:rsidRPr="00BE41A6">
        <w:rPr>
          <w:rFonts w:ascii="Garamond" w:hAnsi="Garamond"/>
          <w:sz w:val="24"/>
          <w:szCs w:val="24"/>
        </w:rPr>
        <w:t>Ms. Danielle Hutson, UPCC/UCRC Assistant</w:t>
      </w:r>
      <w:r w:rsidR="002F3514">
        <w:rPr>
          <w:rFonts w:ascii="Garamond" w:hAnsi="Garamond"/>
          <w:sz w:val="24"/>
          <w:szCs w:val="24"/>
        </w:rPr>
        <w:t xml:space="preserve"> [ucrc@ucf.edu]</w:t>
      </w:r>
      <w:bookmarkStart w:id="0" w:name="_GoBack"/>
      <w:bookmarkEnd w:id="0"/>
    </w:p>
    <w:sectPr w:rsidR="00BE41A6" w:rsidRPr="00BE41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427"/>
    <w:rsid w:val="00002987"/>
    <w:rsid w:val="001325AC"/>
    <w:rsid w:val="00174D74"/>
    <w:rsid w:val="002D2586"/>
    <w:rsid w:val="002F3514"/>
    <w:rsid w:val="005F4046"/>
    <w:rsid w:val="00683D0D"/>
    <w:rsid w:val="0073560A"/>
    <w:rsid w:val="00A61C85"/>
    <w:rsid w:val="00BE41A6"/>
    <w:rsid w:val="00C17233"/>
    <w:rsid w:val="00CE1427"/>
    <w:rsid w:val="00E01DD6"/>
    <w:rsid w:val="00E20795"/>
    <w:rsid w:val="00F02148"/>
    <w:rsid w:val="00FB2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1D651"/>
  <w15:chartTrackingRefBased/>
  <w15:docId w15:val="{1659BECD-F2D7-4B76-A44B-EA2F1DDA9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4046"/>
    <w:rPr>
      <w:color w:val="0563C1" w:themeColor="hyperlink"/>
      <w:u w:val="single"/>
    </w:rPr>
  </w:style>
  <w:style w:type="paragraph" w:styleId="NoSpacing">
    <w:name w:val="No Spacing"/>
    <w:uiPriority w:val="1"/>
    <w:qFormat/>
    <w:rsid w:val="002D25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13836">
      <w:bodyDiv w:val="1"/>
      <w:marLeft w:val="0"/>
      <w:marRight w:val="0"/>
      <w:marTop w:val="0"/>
      <w:marBottom w:val="0"/>
      <w:divBdr>
        <w:top w:val="none" w:sz="0" w:space="0" w:color="auto"/>
        <w:left w:val="none" w:sz="0" w:space="0" w:color="auto"/>
        <w:bottom w:val="none" w:sz="0" w:space="0" w:color="auto"/>
        <w:right w:val="none" w:sz="0" w:space="0" w:color="auto"/>
      </w:divBdr>
      <w:divsChild>
        <w:div w:id="447549575">
          <w:marLeft w:val="0"/>
          <w:marRight w:val="0"/>
          <w:marTop w:val="0"/>
          <w:marBottom w:val="0"/>
          <w:divBdr>
            <w:top w:val="none" w:sz="0" w:space="0" w:color="auto"/>
            <w:left w:val="none" w:sz="0" w:space="0" w:color="auto"/>
            <w:bottom w:val="none" w:sz="0" w:space="0" w:color="auto"/>
            <w:right w:val="none" w:sz="0" w:space="0" w:color="auto"/>
          </w:divBdr>
        </w:div>
        <w:div w:id="673531067">
          <w:marLeft w:val="0"/>
          <w:marRight w:val="0"/>
          <w:marTop w:val="0"/>
          <w:marBottom w:val="0"/>
          <w:divBdr>
            <w:top w:val="none" w:sz="0" w:space="0" w:color="auto"/>
            <w:left w:val="none" w:sz="0" w:space="0" w:color="auto"/>
            <w:bottom w:val="none" w:sz="0" w:space="0" w:color="auto"/>
            <w:right w:val="none" w:sz="0" w:space="0" w:color="auto"/>
          </w:divBdr>
        </w:div>
        <w:div w:id="1322661014">
          <w:marLeft w:val="0"/>
          <w:marRight w:val="0"/>
          <w:marTop w:val="0"/>
          <w:marBottom w:val="0"/>
          <w:divBdr>
            <w:top w:val="none" w:sz="0" w:space="0" w:color="auto"/>
            <w:left w:val="none" w:sz="0" w:space="0" w:color="auto"/>
            <w:bottom w:val="none" w:sz="0" w:space="0" w:color="auto"/>
            <w:right w:val="none" w:sz="0" w:space="0" w:color="auto"/>
          </w:divBdr>
        </w:div>
        <w:div w:id="29571519">
          <w:marLeft w:val="0"/>
          <w:marRight w:val="0"/>
          <w:marTop w:val="0"/>
          <w:marBottom w:val="0"/>
          <w:divBdr>
            <w:top w:val="none" w:sz="0" w:space="0" w:color="auto"/>
            <w:left w:val="none" w:sz="0" w:space="0" w:color="auto"/>
            <w:bottom w:val="none" w:sz="0" w:space="0" w:color="auto"/>
            <w:right w:val="none" w:sz="0" w:space="0" w:color="auto"/>
          </w:divBdr>
        </w:div>
        <w:div w:id="1609122168">
          <w:marLeft w:val="0"/>
          <w:marRight w:val="0"/>
          <w:marTop w:val="0"/>
          <w:marBottom w:val="0"/>
          <w:divBdr>
            <w:top w:val="none" w:sz="0" w:space="0" w:color="auto"/>
            <w:left w:val="none" w:sz="0" w:space="0" w:color="auto"/>
            <w:bottom w:val="none" w:sz="0" w:space="0" w:color="auto"/>
            <w:right w:val="none" w:sz="0" w:space="0" w:color="auto"/>
          </w:divBdr>
        </w:div>
        <w:div w:id="612134023">
          <w:marLeft w:val="0"/>
          <w:marRight w:val="0"/>
          <w:marTop w:val="0"/>
          <w:marBottom w:val="0"/>
          <w:divBdr>
            <w:top w:val="none" w:sz="0" w:space="0" w:color="auto"/>
            <w:left w:val="none" w:sz="0" w:space="0" w:color="auto"/>
            <w:bottom w:val="none" w:sz="0" w:space="0" w:color="auto"/>
            <w:right w:val="none" w:sz="0" w:space="0" w:color="auto"/>
          </w:divBdr>
        </w:div>
        <w:div w:id="227425740">
          <w:marLeft w:val="0"/>
          <w:marRight w:val="0"/>
          <w:marTop w:val="0"/>
          <w:marBottom w:val="0"/>
          <w:divBdr>
            <w:top w:val="none" w:sz="0" w:space="0" w:color="auto"/>
            <w:left w:val="none" w:sz="0" w:space="0" w:color="auto"/>
            <w:bottom w:val="none" w:sz="0" w:space="0" w:color="auto"/>
            <w:right w:val="none" w:sz="0" w:space="0" w:color="auto"/>
          </w:divBdr>
        </w:div>
        <w:div w:id="1402220315">
          <w:marLeft w:val="0"/>
          <w:marRight w:val="0"/>
          <w:marTop w:val="0"/>
          <w:marBottom w:val="0"/>
          <w:divBdr>
            <w:top w:val="none" w:sz="0" w:space="0" w:color="auto"/>
            <w:left w:val="none" w:sz="0" w:space="0" w:color="auto"/>
            <w:bottom w:val="none" w:sz="0" w:space="0" w:color="auto"/>
            <w:right w:val="none" w:sz="0" w:space="0" w:color="auto"/>
          </w:divBdr>
        </w:div>
        <w:div w:id="985738294">
          <w:marLeft w:val="0"/>
          <w:marRight w:val="0"/>
          <w:marTop w:val="0"/>
          <w:marBottom w:val="0"/>
          <w:divBdr>
            <w:top w:val="none" w:sz="0" w:space="0" w:color="auto"/>
            <w:left w:val="none" w:sz="0" w:space="0" w:color="auto"/>
            <w:bottom w:val="none" w:sz="0" w:space="0" w:color="auto"/>
            <w:right w:val="none" w:sz="0" w:space="0" w:color="auto"/>
          </w:divBdr>
        </w:div>
        <w:div w:id="543562053">
          <w:marLeft w:val="0"/>
          <w:marRight w:val="0"/>
          <w:marTop w:val="0"/>
          <w:marBottom w:val="0"/>
          <w:divBdr>
            <w:top w:val="none" w:sz="0" w:space="0" w:color="auto"/>
            <w:left w:val="none" w:sz="0" w:space="0" w:color="auto"/>
            <w:bottom w:val="none" w:sz="0" w:space="0" w:color="auto"/>
            <w:right w:val="none" w:sz="0" w:space="0" w:color="auto"/>
          </w:divBdr>
        </w:div>
        <w:div w:id="2007173855">
          <w:marLeft w:val="0"/>
          <w:marRight w:val="0"/>
          <w:marTop w:val="0"/>
          <w:marBottom w:val="0"/>
          <w:divBdr>
            <w:top w:val="none" w:sz="0" w:space="0" w:color="auto"/>
            <w:left w:val="none" w:sz="0" w:space="0" w:color="auto"/>
            <w:bottom w:val="none" w:sz="0" w:space="0" w:color="auto"/>
            <w:right w:val="none" w:sz="0" w:space="0" w:color="auto"/>
          </w:divBdr>
        </w:div>
        <w:div w:id="115952649">
          <w:marLeft w:val="0"/>
          <w:marRight w:val="0"/>
          <w:marTop w:val="0"/>
          <w:marBottom w:val="0"/>
          <w:divBdr>
            <w:top w:val="none" w:sz="0" w:space="0" w:color="auto"/>
            <w:left w:val="none" w:sz="0" w:space="0" w:color="auto"/>
            <w:bottom w:val="none" w:sz="0" w:space="0" w:color="auto"/>
            <w:right w:val="none" w:sz="0" w:space="0" w:color="auto"/>
          </w:divBdr>
        </w:div>
        <w:div w:id="460458849">
          <w:marLeft w:val="0"/>
          <w:marRight w:val="0"/>
          <w:marTop w:val="0"/>
          <w:marBottom w:val="0"/>
          <w:divBdr>
            <w:top w:val="none" w:sz="0" w:space="0" w:color="auto"/>
            <w:left w:val="none" w:sz="0" w:space="0" w:color="auto"/>
            <w:bottom w:val="none" w:sz="0" w:space="0" w:color="auto"/>
            <w:right w:val="none" w:sz="0" w:space="0" w:color="auto"/>
          </w:divBdr>
        </w:div>
        <w:div w:id="233054713">
          <w:marLeft w:val="0"/>
          <w:marRight w:val="0"/>
          <w:marTop w:val="0"/>
          <w:marBottom w:val="0"/>
          <w:divBdr>
            <w:top w:val="none" w:sz="0" w:space="0" w:color="auto"/>
            <w:left w:val="none" w:sz="0" w:space="0" w:color="auto"/>
            <w:bottom w:val="none" w:sz="0" w:space="0" w:color="auto"/>
            <w:right w:val="none" w:sz="0" w:space="0" w:color="auto"/>
          </w:divBdr>
        </w:div>
        <w:div w:id="1615820973">
          <w:marLeft w:val="0"/>
          <w:marRight w:val="0"/>
          <w:marTop w:val="0"/>
          <w:marBottom w:val="0"/>
          <w:divBdr>
            <w:top w:val="none" w:sz="0" w:space="0" w:color="auto"/>
            <w:left w:val="none" w:sz="0" w:space="0" w:color="auto"/>
            <w:bottom w:val="none" w:sz="0" w:space="0" w:color="auto"/>
            <w:right w:val="none" w:sz="0" w:space="0" w:color="auto"/>
          </w:divBdr>
        </w:div>
        <w:div w:id="680397189">
          <w:marLeft w:val="0"/>
          <w:marRight w:val="0"/>
          <w:marTop w:val="0"/>
          <w:marBottom w:val="0"/>
          <w:divBdr>
            <w:top w:val="none" w:sz="0" w:space="0" w:color="auto"/>
            <w:left w:val="none" w:sz="0" w:space="0" w:color="auto"/>
            <w:bottom w:val="none" w:sz="0" w:space="0" w:color="auto"/>
            <w:right w:val="none" w:sz="0" w:space="0" w:color="auto"/>
          </w:divBdr>
        </w:div>
        <w:div w:id="1101147540">
          <w:marLeft w:val="0"/>
          <w:marRight w:val="0"/>
          <w:marTop w:val="0"/>
          <w:marBottom w:val="0"/>
          <w:divBdr>
            <w:top w:val="none" w:sz="0" w:space="0" w:color="auto"/>
            <w:left w:val="none" w:sz="0" w:space="0" w:color="auto"/>
            <w:bottom w:val="none" w:sz="0" w:space="0" w:color="auto"/>
            <w:right w:val="none" w:sz="0" w:space="0" w:color="auto"/>
          </w:divBdr>
        </w:div>
        <w:div w:id="330914573">
          <w:marLeft w:val="0"/>
          <w:marRight w:val="0"/>
          <w:marTop w:val="0"/>
          <w:marBottom w:val="0"/>
          <w:divBdr>
            <w:top w:val="none" w:sz="0" w:space="0" w:color="auto"/>
            <w:left w:val="none" w:sz="0" w:space="0" w:color="auto"/>
            <w:bottom w:val="none" w:sz="0" w:space="0" w:color="auto"/>
            <w:right w:val="none" w:sz="0" w:space="0" w:color="auto"/>
          </w:divBdr>
        </w:div>
        <w:div w:id="932277940">
          <w:marLeft w:val="0"/>
          <w:marRight w:val="0"/>
          <w:marTop w:val="0"/>
          <w:marBottom w:val="0"/>
          <w:divBdr>
            <w:top w:val="none" w:sz="0" w:space="0" w:color="auto"/>
            <w:left w:val="none" w:sz="0" w:space="0" w:color="auto"/>
            <w:bottom w:val="none" w:sz="0" w:space="0" w:color="auto"/>
            <w:right w:val="none" w:sz="0" w:space="0" w:color="auto"/>
          </w:divBdr>
        </w:div>
        <w:div w:id="520970246">
          <w:marLeft w:val="0"/>
          <w:marRight w:val="0"/>
          <w:marTop w:val="0"/>
          <w:marBottom w:val="0"/>
          <w:divBdr>
            <w:top w:val="none" w:sz="0" w:space="0" w:color="auto"/>
            <w:left w:val="none" w:sz="0" w:space="0" w:color="auto"/>
            <w:bottom w:val="none" w:sz="0" w:space="0" w:color="auto"/>
            <w:right w:val="none" w:sz="0" w:space="0" w:color="auto"/>
          </w:divBdr>
        </w:div>
        <w:div w:id="1760563974">
          <w:marLeft w:val="0"/>
          <w:marRight w:val="0"/>
          <w:marTop w:val="0"/>
          <w:marBottom w:val="0"/>
          <w:divBdr>
            <w:top w:val="none" w:sz="0" w:space="0" w:color="auto"/>
            <w:left w:val="none" w:sz="0" w:space="0" w:color="auto"/>
            <w:bottom w:val="none" w:sz="0" w:space="0" w:color="auto"/>
            <w:right w:val="none" w:sz="0" w:space="0" w:color="auto"/>
          </w:divBdr>
        </w:div>
        <w:div w:id="1616254188">
          <w:marLeft w:val="0"/>
          <w:marRight w:val="0"/>
          <w:marTop w:val="0"/>
          <w:marBottom w:val="0"/>
          <w:divBdr>
            <w:top w:val="none" w:sz="0" w:space="0" w:color="auto"/>
            <w:left w:val="none" w:sz="0" w:space="0" w:color="auto"/>
            <w:bottom w:val="none" w:sz="0" w:space="0" w:color="auto"/>
            <w:right w:val="none" w:sz="0" w:space="0" w:color="auto"/>
          </w:divBdr>
        </w:div>
        <w:div w:id="547840438">
          <w:marLeft w:val="0"/>
          <w:marRight w:val="0"/>
          <w:marTop w:val="0"/>
          <w:marBottom w:val="0"/>
          <w:divBdr>
            <w:top w:val="none" w:sz="0" w:space="0" w:color="auto"/>
            <w:left w:val="none" w:sz="0" w:space="0" w:color="auto"/>
            <w:bottom w:val="none" w:sz="0" w:space="0" w:color="auto"/>
            <w:right w:val="none" w:sz="0" w:space="0" w:color="auto"/>
          </w:divBdr>
        </w:div>
        <w:div w:id="774325679">
          <w:marLeft w:val="0"/>
          <w:marRight w:val="0"/>
          <w:marTop w:val="0"/>
          <w:marBottom w:val="0"/>
          <w:divBdr>
            <w:top w:val="none" w:sz="0" w:space="0" w:color="auto"/>
            <w:left w:val="none" w:sz="0" w:space="0" w:color="auto"/>
            <w:bottom w:val="none" w:sz="0" w:space="0" w:color="auto"/>
            <w:right w:val="none" w:sz="0" w:space="0" w:color="auto"/>
          </w:divBdr>
        </w:div>
        <w:div w:id="1662730321">
          <w:marLeft w:val="0"/>
          <w:marRight w:val="0"/>
          <w:marTop w:val="0"/>
          <w:marBottom w:val="0"/>
          <w:divBdr>
            <w:top w:val="none" w:sz="0" w:space="0" w:color="auto"/>
            <w:left w:val="none" w:sz="0" w:space="0" w:color="auto"/>
            <w:bottom w:val="none" w:sz="0" w:space="0" w:color="auto"/>
            <w:right w:val="none" w:sz="0" w:space="0" w:color="auto"/>
          </w:divBdr>
        </w:div>
        <w:div w:id="266936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flscns.fldoe.org/LinkUploads/SCNS%202017%20Handbook%2006-01-18.pdf"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hyperlink" Target="https://flscns.fldoe.org/default.aspx" TargetMode="External"/><Relationship Id="rId9" Type="http://schemas.openxmlformats.org/officeDocument/2006/relationships/hyperlink" Target="https://flscns.fldoe.org/default.asp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6</Pages>
  <Words>1041</Words>
  <Characters>5936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Central Florida</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Hoerrner</dc:creator>
  <cp:keywords/>
  <dc:description/>
  <cp:lastModifiedBy>Keisha Hoerrner</cp:lastModifiedBy>
  <cp:revision>3</cp:revision>
  <dcterms:created xsi:type="dcterms:W3CDTF">2018-07-17T20:58:00Z</dcterms:created>
  <dcterms:modified xsi:type="dcterms:W3CDTF">2018-07-19T13:23:00Z</dcterms:modified>
</cp:coreProperties>
</file>